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ECC0" w14:textId="00128D39" w:rsidR="00BB568C" w:rsidRPr="00BB568C" w:rsidRDefault="001A7955" w:rsidP="00BB568C">
      <w:r w:rsidRPr="00BE3D98">
        <w:rPr>
          <w:rFonts w:ascii="Segoe UI" w:hAnsi="Segoe UI" w:cs="Segoe UI"/>
          <w:b/>
          <w:noProof/>
          <w:sz w:val="18"/>
          <w:szCs w:val="18"/>
        </w:rPr>
        <mc:AlternateContent>
          <mc:Choice Requires="wps">
            <w:drawing>
              <wp:anchor distT="45720" distB="45720" distL="114300" distR="114300" simplePos="0" relativeHeight="251716863" behindDoc="0" locked="0" layoutInCell="1" allowOverlap="1" wp14:anchorId="44275AB9" wp14:editId="0A47B32B">
                <wp:simplePos x="0" y="0"/>
                <wp:positionH relativeFrom="margin">
                  <wp:posOffset>-619125</wp:posOffset>
                </wp:positionH>
                <wp:positionV relativeFrom="paragraph">
                  <wp:posOffset>-447675</wp:posOffset>
                </wp:positionV>
                <wp:extent cx="7171798" cy="8096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798" cy="809625"/>
                        </a:xfrm>
                        <a:prstGeom prst="rect">
                          <a:avLst/>
                        </a:prstGeom>
                        <a:solidFill>
                          <a:srgbClr val="FFFFFF"/>
                        </a:solidFill>
                        <a:ln w="9525">
                          <a:solidFill>
                            <a:srgbClr val="000000"/>
                          </a:solidFill>
                          <a:miter lim="800000"/>
                          <a:headEnd/>
                          <a:tailEnd/>
                        </a:ln>
                      </wps:spPr>
                      <wps:txbx>
                        <w:txbxContent>
                          <w:p w14:paraId="42F1223C" w14:textId="77777777" w:rsidR="00BE3D98" w:rsidRPr="0080474D" w:rsidRDefault="00BE3D98" w:rsidP="0080474D">
                            <w:pPr>
                              <w:pStyle w:val="NoSpacing"/>
                              <w:rPr>
                                <w:rFonts w:ascii="Arial Narrow" w:hAnsi="Arial Narrow"/>
                                <w:sz w:val="16"/>
                                <w:szCs w:val="16"/>
                              </w:rPr>
                            </w:pPr>
                            <w:r w:rsidRPr="0080474D">
                              <w:rPr>
                                <w:rFonts w:ascii="Arial Narrow" w:hAnsi="Arial Narrow"/>
                                <w:b/>
                                <w:sz w:val="16"/>
                                <w:szCs w:val="16"/>
                              </w:rPr>
                              <w:t xml:space="preserve">Fatal Drug Overdose (Mortality) Data Source: </w:t>
                            </w:r>
                            <w:r w:rsidRPr="0080474D">
                              <w:rPr>
                                <w:rFonts w:ascii="Arial Narrow" w:hAnsi="Arial Narrow"/>
                                <w:sz w:val="16"/>
                                <w:szCs w:val="16"/>
                              </w:rPr>
                              <w:t xml:space="preserve">Overdose-involved deaths were derived from DPH Vital Records death certificates. </w:t>
                            </w:r>
                          </w:p>
                          <w:p w14:paraId="37BB214D" w14:textId="6D6EC72C" w:rsidR="00BE3D98" w:rsidRPr="0080474D" w:rsidRDefault="00BE3D98" w:rsidP="0080474D">
                            <w:pPr>
                              <w:pStyle w:val="NoSpacing"/>
                              <w:rPr>
                                <w:rFonts w:ascii="Arial Narrow" w:hAnsi="Arial Narrow"/>
                                <w:sz w:val="16"/>
                                <w:szCs w:val="16"/>
                              </w:rPr>
                            </w:pPr>
                            <w:r w:rsidRPr="0080474D">
                              <w:rPr>
                                <w:rFonts w:ascii="Arial Narrow" w:hAnsi="Arial Narrow"/>
                                <w:b/>
                                <w:sz w:val="16"/>
                                <w:szCs w:val="16"/>
                              </w:rPr>
                              <w:t>Nonfatal</w:t>
                            </w:r>
                            <w:r w:rsidR="001A7955" w:rsidRPr="0080474D">
                              <w:rPr>
                                <w:rFonts w:ascii="Arial Narrow" w:hAnsi="Arial Narrow"/>
                                <w:b/>
                                <w:sz w:val="16"/>
                                <w:szCs w:val="16"/>
                              </w:rPr>
                              <w:t xml:space="preserve"> Drug</w:t>
                            </w:r>
                            <w:r w:rsidRPr="0080474D">
                              <w:rPr>
                                <w:rFonts w:ascii="Arial Narrow" w:hAnsi="Arial Narrow"/>
                                <w:b/>
                                <w:sz w:val="16"/>
                                <w:szCs w:val="16"/>
                              </w:rPr>
                              <w:t xml:space="preserve"> Overdose (Morbidity) </w:t>
                            </w:r>
                            <w:r w:rsidRPr="0080474D">
                              <w:rPr>
                                <w:rFonts w:ascii="Arial Narrow" w:hAnsi="Arial Narrow"/>
                                <w:b/>
                                <w:bCs/>
                                <w:sz w:val="16"/>
                                <w:szCs w:val="16"/>
                              </w:rPr>
                              <w:t>Data Source:</w:t>
                            </w:r>
                            <w:r w:rsidRPr="0080474D">
                              <w:rPr>
                                <w:rFonts w:ascii="Arial Narrow" w:hAnsi="Arial Narrow"/>
                                <w:sz w:val="16"/>
                                <w:szCs w:val="16"/>
                              </w:rPr>
                              <w:t xml:space="preserve"> Nonfatal overdose counts were derived from Georgia hospitalization and emergency department (ED) visit discharge data, and include</w:t>
                            </w:r>
                            <w:r w:rsidR="00694182" w:rsidRPr="0080474D">
                              <w:rPr>
                                <w:rFonts w:ascii="Arial Narrow" w:hAnsi="Arial Narrow"/>
                                <w:sz w:val="16"/>
                                <w:szCs w:val="16"/>
                              </w:rPr>
                              <w:t>s</w:t>
                            </w:r>
                            <w:r w:rsidRPr="0080474D">
                              <w:rPr>
                                <w:rFonts w:ascii="Arial Narrow" w:hAnsi="Arial Narrow"/>
                                <w:sz w:val="16"/>
                                <w:szCs w:val="16"/>
                              </w:rPr>
                              <w:t xml:space="preserve"> all ED visits or hospitalizations occurring in a non-Federal acute care hospital in Georgia, among Georgia residents, with a discharge diagnosis indicating acute drug overdose during </w:t>
                            </w:r>
                            <w:r w:rsidR="00A57E9C">
                              <w:rPr>
                                <w:rFonts w:ascii="Arial Narrow" w:hAnsi="Arial Narrow"/>
                                <w:sz w:val="16"/>
                                <w:szCs w:val="16"/>
                              </w:rPr>
                              <w:t>201</w:t>
                            </w:r>
                            <w:r w:rsidR="004760AA">
                              <w:rPr>
                                <w:rFonts w:ascii="Arial Narrow" w:hAnsi="Arial Narrow"/>
                                <w:sz w:val="16"/>
                                <w:szCs w:val="16"/>
                              </w:rPr>
                              <w:t>8</w:t>
                            </w:r>
                            <w:r w:rsidR="00A57E9C">
                              <w:rPr>
                                <w:rFonts w:ascii="Arial Narrow" w:hAnsi="Arial Narrow"/>
                                <w:sz w:val="16"/>
                                <w:szCs w:val="16"/>
                              </w:rPr>
                              <w:t>-</w:t>
                            </w:r>
                            <w:r w:rsidRPr="0080474D">
                              <w:rPr>
                                <w:rFonts w:ascii="Arial Narrow" w:hAnsi="Arial Narrow"/>
                                <w:sz w:val="16"/>
                                <w:szCs w:val="16"/>
                              </w:rPr>
                              <w:t>20</w:t>
                            </w:r>
                            <w:r w:rsidR="00006127">
                              <w:rPr>
                                <w:rFonts w:ascii="Arial Narrow" w:hAnsi="Arial Narrow"/>
                                <w:sz w:val="16"/>
                                <w:szCs w:val="16"/>
                              </w:rPr>
                              <w:t>2</w:t>
                            </w:r>
                            <w:r w:rsidR="004760AA">
                              <w:rPr>
                                <w:rFonts w:ascii="Arial Narrow" w:hAnsi="Arial Narrow"/>
                                <w:sz w:val="16"/>
                                <w:szCs w:val="16"/>
                              </w:rPr>
                              <w:t>1</w:t>
                            </w:r>
                            <w:r w:rsidRPr="0080474D">
                              <w:rPr>
                                <w:rFonts w:ascii="Arial Narrow" w:hAnsi="Arial Narrow"/>
                                <w:sz w:val="16"/>
                                <w:szCs w:val="16"/>
                              </w:rPr>
                              <w:t>.</w:t>
                            </w:r>
                            <w:r w:rsidR="00981FC3">
                              <w:rPr>
                                <w:rFonts w:ascii="Arial Narrow" w:hAnsi="Arial Narrow"/>
                                <w:sz w:val="16"/>
                                <w:szCs w:val="16"/>
                              </w:rPr>
                              <w:t xml:space="preserve"> Death</w:t>
                            </w:r>
                            <w:r w:rsidR="00201A73">
                              <w:rPr>
                                <w:rFonts w:ascii="Arial Narrow" w:hAnsi="Arial Narrow"/>
                                <w:sz w:val="16"/>
                                <w:szCs w:val="16"/>
                              </w:rPr>
                              <w:t>s</w:t>
                            </w:r>
                            <w:r w:rsidR="00981FC3">
                              <w:rPr>
                                <w:rFonts w:ascii="Arial Narrow" w:hAnsi="Arial Narrow"/>
                                <w:sz w:val="16"/>
                                <w:szCs w:val="16"/>
                              </w:rPr>
                              <w:t xml:space="preserve"> in the most </w:t>
                            </w:r>
                            <w:r w:rsidR="005506F6">
                              <w:rPr>
                                <w:rFonts w:ascii="Arial Narrow" w:hAnsi="Arial Narrow"/>
                                <w:sz w:val="16"/>
                                <w:szCs w:val="16"/>
                              </w:rPr>
                              <w:t>recent</w:t>
                            </w:r>
                            <w:r w:rsidR="00981FC3">
                              <w:rPr>
                                <w:rFonts w:ascii="Arial Narrow" w:hAnsi="Arial Narrow"/>
                                <w:sz w:val="16"/>
                                <w:szCs w:val="16"/>
                              </w:rPr>
                              <w:t xml:space="preserve"> quarter</w:t>
                            </w:r>
                            <w:r w:rsidR="00201A73">
                              <w:rPr>
                                <w:rFonts w:ascii="Arial Narrow" w:hAnsi="Arial Narrow"/>
                                <w:sz w:val="16"/>
                                <w:szCs w:val="16"/>
                              </w:rPr>
                              <w:t xml:space="preserve"> are </w:t>
                            </w:r>
                            <w:r w:rsidR="00981FC3">
                              <w:rPr>
                                <w:rFonts w:ascii="Arial Narrow" w:hAnsi="Arial Narrow"/>
                                <w:sz w:val="16"/>
                                <w:szCs w:val="16"/>
                              </w:rPr>
                              <w:t xml:space="preserve">likely undercounted </w:t>
                            </w:r>
                            <w:r w:rsidR="005506F6">
                              <w:rPr>
                                <w:rFonts w:ascii="Arial Narrow" w:hAnsi="Arial Narrow"/>
                                <w:sz w:val="16"/>
                                <w:szCs w:val="16"/>
                              </w:rPr>
                              <w:t>due to</w:t>
                            </w:r>
                            <w:r w:rsidR="00981FC3">
                              <w:rPr>
                                <w:rFonts w:ascii="Arial Narrow" w:hAnsi="Arial Narrow"/>
                                <w:sz w:val="16"/>
                                <w:szCs w:val="16"/>
                              </w:rPr>
                              <w:t xml:space="preserve"> reporting lags, numbers will increase in subsequent reports</w:t>
                            </w:r>
                            <w:r w:rsidR="005506F6">
                              <w:rPr>
                                <w:rFonts w:ascii="Arial Narrow" w:hAnsi="Arial Narrow"/>
                                <w:sz w:val="16"/>
                                <w:szCs w:val="16"/>
                              </w:rPr>
                              <w:t>.</w:t>
                            </w:r>
                          </w:p>
                          <w:p w14:paraId="20F96815" w14:textId="67D14005" w:rsidR="00BE3D98" w:rsidRDefault="00BE3D98" w:rsidP="00A57E9C">
                            <w:pPr>
                              <w:pStyle w:val="NoSpacing"/>
                              <w:spacing w:after="40"/>
                              <w:rPr>
                                <w:rFonts w:ascii="Arial Narrow" w:hAnsi="Arial Narrow"/>
                                <w:sz w:val="16"/>
                                <w:szCs w:val="16"/>
                              </w:rPr>
                            </w:pPr>
                            <w:r w:rsidRPr="0080474D">
                              <w:rPr>
                                <w:rFonts w:ascii="Arial Narrow" w:hAnsi="Arial Narrow"/>
                                <w:b/>
                                <w:bCs/>
                                <w:sz w:val="16"/>
                                <w:szCs w:val="16"/>
                              </w:rPr>
                              <w:t>Case Definition</w:t>
                            </w:r>
                            <w:r w:rsidR="00694182" w:rsidRPr="0080474D">
                              <w:rPr>
                                <w:rFonts w:ascii="Arial Narrow" w:hAnsi="Arial Narrow"/>
                                <w:b/>
                                <w:bCs/>
                                <w:sz w:val="16"/>
                                <w:szCs w:val="16"/>
                              </w:rPr>
                              <w:t>s</w:t>
                            </w:r>
                            <w:r w:rsidRPr="0080474D">
                              <w:rPr>
                                <w:rFonts w:ascii="Arial Narrow" w:hAnsi="Arial Narrow"/>
                                <w:sz w:val="16"/>
                                <w:szCs w:val="16"/>
                              </w:rPr>
                              <w:t>: Please look at our Opioid Overdose Surveillance Preliminary Report Georgia, 20</w:t>
                            </w:r>
                            <w:r w:rsidR="00AD14F6">
                              <w:rPr>
                                <w:rFonts w:ascii="Arial Narrow" w:hAnsi="Arial Narrow"/>
                                <w:sz w:val="16"/>
                                <w:szCs w:val="16"/>
                              </w:rPr>
                              <w:t>21</w:t>
                            </w:r>
                            <w:r w:rsidRPr="0080474D">
                              <w:rPr>
                                <w:rFonts w:ascii="Arial Narrow" w:hAnsi="Arial Narrow"/>
                                <w:sz w:val="16"/>
                                <w:szCs w:val="16"/>
                              </w:rPr>
                              <w:t xml:space="preserve"> for detailed case definition</w:t>
                            </w:r>
                            <w:r w:rsidR="00694182" w:rsidRPr="0080474D">
                              <w:rPr>
                                <w:rFonts w:ascii="Arial Narrow" w:hAnsi="Arial Narrow"/>
                                <w:sz w:val="16"/>
                                <w:szCs w:val="16"/>
                              </w:rPr>
                              <w:t>s</w:t>
                            </w:r>
                            <w:r w:rsidRPr="0080474D">
                              <w:rPr>
                                <w:rFonts w:ascii="Arial Narrow" w:hAnsi="Arial Narrow"/>
                                <w:sz w:val="16"/>
                                <w:szCs w:val="16"/>
                              </w:rPr>
                              <w:t xml:space="preserve">. </w:t>
                            </w:r>
                            <w:r w:rsidR="00981FC3">
                              <w:rPr>
                                <w:rFonts w:ascii="Arial Narrow" w:hAnsi="Arial Narrow"/>
                                <w:sz w:val="16"/>
                                <w:szCs w:val="16"/>
                              </w:rPr>
                              <w:t>Q1: January-March, Q2: April-</w:t>
                            </w:r>
                            <w:r w:rsidR="00090414">
                              <w:rPr>
                                <w:rFonts w:ascii="Arial Narrow" w:hAnsi="Arial Narrow"/>
                                <w:sz w:val="16"/>
                                <w:szCs w:val="16"/>
                              </w:rPr>
                              <w:t>June</w:t>
                            </w:r>
                            <w:r w:rsidR="00981FC3">
                              <w:rPr>
                                <w:rFonts w:ascii="Arial Narrow" w:hAnsi="Arial Narrow"/>
                                <w:sz w:val="16"/>
                                <w:szCs w:val="16"/>
                              </w:rPr>
                              <w:t>, Q3: J</w:t>
                            </w:r>
                            <w:r w:rsidR="00090414">
                              <w:rPr>
                                <w:rFonts w:ascii="Arial Narrow" w:hAnsi="Arial Narrow"/>
                                <w:sz w:val="16"/>
                                <w:szCs w:val="16"/>
                              </w:rPr>
                              <w:t>uly</w:t>
                            </w:r>
                            <w:r w:rsidR="00981FC3">
                              <w:rPr>
                                <w:rFonts w:ascii="Arial Narrow" w:hAnsi="Arial Narrow"/>
                                <w:sz w:val="16"/>
                                <w:szCs w:val="16"/>
                              </w:rPr>
                              <w:t>-</w:t>
                            </w:r>
                            <w:r w:rsidR="00090414">
                              <w:rPr>
                                <w:rFonts w:ascii="Arial Narrow" w:hAnsi="Arial Narrow"/>
                                <w:sz w:val="16"/>
                                <w:szCs w:val="16"/>
                              </w:rPr>
                              <w:t>September</w:t>
                            </w:r>
                            <w:r w:rsidR="00981FC3">
                              <w:rPr>
                                <w:rFonts w:ascii="Arial Narrow" w:hAnsi="Arial Narrow"/>
                                <w:sz w:val="16"/>
                                <w:szCs w:val="16"/>
                              </w:rPr>
                              <w:t xml:space="preserve">, Q4: </w:t>
                            </w:r>
                            <w:r w:rsidR="00090414">
                              <w:rPr>
                                <w:rFonts w:ascii="Arial Narrow" w:hAnsi="Arial Narrow"/>
                                <w:sz w:val="16"/>
                                <w:szCs w:val="16"/>
                              </w:rPr>
                              <w:t>Octo</w:t>
                            </w:r>
                            <w:r w:rsidR="00981FC3">
                              <w:rPr>
                                <w:rFonts w:ascii="Arial Narrow" w:hAnsi="Arial Narrow"/>
                                <w:sz w:val="16"/>
                                <w:szCs w:val="16"/>
                              </w:rPr>
                              <w:t xml:space="preserve">ber-December. </w:t>
                            </w:r>
                          </w:p>
                          <w:p w14:paraId="3C0AB4B8" w14:textId="77777777" w:rsidR="001A7955" w:rsidRPr="0080474D" w:rsidRDefault="001A7955" w:rsidP="0080474D">
                            <w:pPr>
                              <w:pStyle w:val="NoSpacing"/>
                              <w:spacing w:line="48" w:lineRule="auto"/>
                              <w:rPr>
                                <w:rFonts w:ascii="Arial Narrow" w:hAnsi="Arial Narrow"/>
                                <w:sz w:val="16"/>
                                <w:szCs w:val="16"/>
                              </w:rPr>
                            </w:pPr>
                          </w:p>
                          <w:p w14:paraId="1B1AB0B1" w14:textId="4B13403B" w:rsidR="00BE3D98" w:rsidRPr="0080474D" w:rsidRDefault="00BE3D98" w:rsidP="0080474D">
                            <w:pPr>
                              <w:pStyle w:val="NoSpacing"/>
                              <w:jc w:val="center"/>
                              <w:rPr>
                                <w:rFonts w:ascii="Arial Narrow" w:hAnsi="Arial Narrow"/>
                                <w:noProof/>
                                <w:sz w:val="16"/>
                                <w:szCs w:val="16"/>
                              </w:rPr>
                            </w:pPr>
                            <w:r w:rsidRPr="0080474D">
                              <w:rPr>
                                <w:rFonts w:ascii="Arial Narrow" w:hAnsi="Arial Narrow"/>
                                <w:b/>
                                <w:bCs/>
                                <w:sz w:val="16"/>
                                <w:szCs w:val="16"/>
                              </w:rPr>
                              <w:t>Note:</w:t>
                            </w:r>
                            <w:r w:rsidRPr="0080474D">
                              <w:rPr>
                                <w:rFonts w:ascii="Arial Narrow" w:hAnsi="Arial Narrow"/>
                                <w:b/>
                                <w:sz w:val="16"/>
                                <w:szCs w:val="16"/>
                              </w:rPr>
                              <w:t xml:space="preserve"> Quarterly 20</w:t>
                            </w:r>
                            <w:r w:rsidR="00006127">
                              <w:rPr>
                                <w:rFonts w:ascii="Arial Narrow" w:hAnsi="Arial Narrow"/>
                                <w:b/>
                                <w:sz w:val="16"/>
                                <w:szCs w:val="16"/>
                              </w:rPr>
                              <w:t>20</w:t>
                            </w:r>
                            <w:r w:rsidRPr="0080474D">
                              <w:rPr>
                                <w:rFonts w:ascii="Arial Narrow" w:hAnsi="Arial Narrow"/>
                                <w:b/>
                                <w:sz w:val="16"/>
                                <w:szCs w:val="16"/>
                              </w:rPr>
                              <w:t xml:space="preserve"> data is preliminary and subject to change.</w:t>
                            </w:r>
                          </w:p>
                          <w:p w14:paraId="69F93F94" w14:textId="77777777" w:rsidR="00BE3D98" w:rsidRPr="0080474D" w:rsidRDefault="00BE3D98" w:rsidP="0080474D">
                            <w:pPr>
                              <w:pStyle w:val="NoSpacing"/>
                              <w:rPr>
                                <w:rFonts w:ascii="Arial Narrow" w:hAnsi="Arial Narrow"/>
                                <w:sz w:val="16"/>
                                <w:szCs w:val="16"/>
                              </w:rPr>
                            </w:pPr>
                          </w:p>
                          <w:p w14:paraId="1A090355" w14:textId="77777777" w:rsidR="00BE3D98" w:rsidRPr="0080474D" w:rsidRDefault="00BE3D98" w:rsidP="0080474D">
                            <w:pPr>
                              <w:pStyle w:val="NoSpacing"/>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75AB9" id="_x0000_t202" coordsize="21600,21600" o:spt="202" path="m,l,21600r21600,l21600,xe">
                <v:stroke joinstyle="miter"/>
                <v:path gradientshapeok="t" o:connecttype="rect"/>
              </v:shapetype>
              <v:shape id="Text Box 2" o:spid="_x0000_s1026" type="#_x0000_t202" style="position:absolute;margin-left:-48.75pt;margin-top:-35.25pt;width:564.7pt;height:63.75pt;z-index:2517168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">
                <v:textbox>
                  <w:txbxContent>
                    <w:p w14:paraId="42F1223C" w14:textId="77777777" w:rsidR="00BE3D98" w:rsidRPr="0080474D" w:rsidRDefault="00BE3D98" w:rsidP="0080474D">
                      <w:pPr>
                        <w:pStyle w:val="NoSpacing"/>
                        <w:rPr>
                          <w:rFonts w:ascii="Arial Narrow" w:hAnsi="Arial Narrow"/>
                          <w:sz w:val="16"/>
                          <w:szCs w:val="16"/>
                        </w:rPr>
                      </w:pPr>
                      <w:r w:rsidRPr="0080474D">
                        <w:rPr>
                          <w:rFonts w:ascii="Arial Narrow" w:hAnsi="Arial Narrow"/>
                          <w:b/>
                          <w:sz w:val="16"/>
                          <w:szCs w:val="16"/>
                        </w:rPr>
                        <w:t xml:space="preserve">Fatal Drug Overdose (Mortality) Data Source: </w:t>
                      </w:r>
                      <w:r w:rsidRPr="0080474D">
                        <w:rPr>
                          <w:rFonts w:ascii="Arial Narrow" w:hAnsi="Arial Narrow"/>
                          <w:sz w:val="16"/>
                          <w:szCs w:val="16"/>
                        </w:rPr>
                        <w:t xml:space="preserve">Overdose-involved deaths were derived from DPH Vital Records death certificates. </w:t>
                      </w:r>
                    </w:p>
                    <w:p w14:paraId="37BB214D" w14:textId="6D6EC72C" w:rsidR="00BE3D98" w:rsidRPr="0080474D" w:rsidRDefault="00BE3D98" w:rsidP="0080474D">
                      <w:pPr>
                        <w:pStyle w:val="NoSpacing"/>
                        <w:rPr>
                          <w:rFonts w:ascii="Arial Narrow" w:hAnsi="Arial Narrow"/>
                          <w:sz w:val="16"/>
                          <w:szCs w:val="16"/>
                        </w:rPr>
                      </w:pPr>
                      <w:r w:rsidRPr="0080474D">
                        <w:rPr>
                          <w:rFonts w:ascii="Arial Narrow" w:hAnsi="Arial Narrow"/>
                          <w:b/>
                          <w:sz w:val="16"/>
                          <w:szCs w:val="16"/>
                        </w:rPr>
                        <w:t>Nonfatal</w:t>
                      </w:r>
                      <w:r w:rsidR="001A7955" w:rsidRPr="0080474D">
                        <w:rPr>
                          <w:rFonts w:ascii="Arial Narrow" w:hAnsi="Arial Narrow"/>
                          <w:b/>
                          <w:sz w:val="16"/>
                          <w:szCs w:val="16"/>
                        </w:rPr>
                        <w:t xml:space="preserve"> Drug</w:t>
                      </w:r>
                      <w:r w:rsidRPr="0080474D">
                        <w:rPr>
                          <w:rFonts w:ascii="Arial Narrow" w:hAnsi="Arial Narrow"/>
                          <w:b/>
                          <w:sz w:val="16"/>
                          <w:szCs w:val="16"/>
                        </w:rPr>
                        <w:t xml:space="preserve"> Overdose (Morbidity) </w:t>
                      </w:r>
                      <w:r w:rsidRPr="0080474D">
                        <w:rPr>
                          <w:rFonts w:ascii="Arial Narrow" w:hAnsi="Arial Narrow"/>
                          <w:b/>
                          <w:bCs/>
                          <w:sz w:val="16"/>
                          <w:szCs w:val="16"/>
                        </w:rPr>
                        <w:t>Data Source:</w:t>
                      </w:r>
                      <w:r w:rsidRPr="0080474D">
                        <w:rPr>
                          <w:rFonts w:ascii="Arial Narrow" w:hAnsi="Arial Narrow"/>
                          <w:sz w:val="16"/>
                          <w:szCs w:val="16"/>
                        </w:rPr>
                        <w:t xml:space="preserve"> Nonfatal overdose counts were derived from Georgia hospitalization and emergency department (ED) visit discharge data, and include</w:t>
                      </w:r>
                      <w:r w:rsidR="00694182" w:rsidRPr="0080474D">
                        <w:rPr>
                          <w:rFonts w:ascii="Arial Narrow" w:hAnsi="Arial Narrow"/>
                          <w:sz w:val="16"/>
                          <w:szCs w:val="16"/>
                        </w:rPr>
                        <w:t>s</w:t>
                      </w:r>
                      <w:r w:rsidRPr="0080474D">
                        <w:rPr>
                          <w:rFonts w:ascii="Arial Narrow" w:hAnsi="Arial Narrow"/>
                          <w:sz w:val="16"/>
                          <w:szCs w:val="16"/>
                        </w:rPr>
                        <w:t xml:space="preserve"> all ED visits or hospitalizations occurring in a non-Federal acute care hospital in Georgia, among Georgia residents, with a discharge diagnosis indicating acute drug overdose during </w:t>
                      </w:r>
                      <w:r w:rsidR="00A57E9C">
                        <w:rPr>
                          <w:rFonts w:ascii="Arial Narrow" w:hAnsi="Arial Narrow"/>
                          <w:sz w:val="16"/>
                          <w:szCs w:val="16"/>
                        </w:rPr>
                        <w:t>201</w:t>
                      </w:r>
                      <w:r w:rsidR="004760AA">
                        <w:rPr>
                          <w:rFonts w:ascii="Arial Narrow" w:hAnsi="Arial Narrow"/>
                          <w:sz w:val="16"/>
                          <w:szCs w:val="16"/>
                        </w:rPr>
                        <w:t>8</w:t>
                      </w:r>
                      <w:r w:rsidR="00A57E9C">
                        <w:rPr>
                          <w:rFonts w:ascii="Arial Narrow" w:hAnsi="Arial Narrow"/>
                          <w:sz w:val="16"/>
                          <w:szCs w:val="16"/>
                        </w:rPr>
                        <w:t>-</w:t>
                      </w:r>
                      <w:r w:rsidRPr="0080474D">
                        <w:rPr>
                          <w:rFonts w:ascii="Arial Narrow" w:hAnsi="Arial Narrow"/>
                          <w:sz w:val="16"/>
                          <w:szCs w:val="16"/>
                        </w:rPr>
                        <w:t>20</w:t>
                      </w:r>
                      <w:r w:rsidR="00006127">
                        <w:rPr>
                          <w:rFonts w:ascii="Arial Narrow" w:hAnsi="Arial Narrow"/>
                          <w:sz w:val="16"/>
                          <w:szCs w:val="16"/>
                        </w:rPr>
                        <w:t>2</w:t>
                      </w:r>
                      <w:r w:rsidR="004760AA">
                        <w:rPr>
                          <w:rFonts w:ascii="Arial Narrow" w:hAnsi="Arial Narrow"/>
                          <w:sz w:val="16"/>
                          <w:szCs w:val="16"/>
                        </w:rPr>
                        <w:t>1</w:t>
                      </w:r>
                      <w:r w:rsidRPr="0080474D">
                        <w:rPr>
                          <w:rFonts w:ascii="Arial Narrow" w:hAnsi="Arial Narrow"/>
                          <w:sz w:val="16"/>
                          <w:szCs w:val="16"/>
                        </w:rPr>
                        <w:t>.</w:t>
                      </w:r>
                      <w:r w:rsidR="00981FC3">
                        <w:rPr>
                          <w:rFonts w:ascii="Arial Narrow" w:hAnsi="Arial Narrow"/>
                          <w:sz w:val="16"/>
                          <w:szCs w:val="16"/>
                        </w:rPr>
                        <w:t xml:space="preserve"> Death</w:t>
                      </w:r>
                      <w:r w:rsidR="00201A73">
                        <w:rPr>
                          <w:rFonts w:ascii="Arial Narrow" w:hAnsi="Arial Narrow"/>
                          <w:sz w:val="16"/>
                          <w:szCs w:val="16"/>
                        </w:rPr>
                        <w:t>s</w:t>
                      </w:r>
                      <w:r w:rsidR="00981FC3">
                        <w:rPr>
                          <w:rFonts w:ascii="Arial Narrow" w:hAnsi="Arial Narrow"/>
                          <w:sz w:val="16"/>
                          <w:szCs w:val="16"/>
                        </w:rPr>
                        <w:t xml:space="preserve"> in the most </w:t>
                      </w:r>
                      <w:r w:rsidR="005506F6">
                        <w:rPr>
                          <w:rFonts w:ascii="Arial Narrow" w:hAnsi="Arial Narrow"/>
                          <w:sz w:val="16"/>
                          <w:szCs w:val="16"/>
                        </w:rPr>
                        <w:t>recent</w:t>
                      </w:r>
                      <w:r w:rsidR="00981FC3">
                        <w:rPr>
                          <w:rFonts w:ascii="Arial Narrow" w:hAnsi="Arial Narrow"/>
                          <w:sz w:val="16"/>
                          <w:szCs w:val="16"/>
                        </w:rPr>
                        <w:t xml:space="preserve"> quarter</w:t>
                      </w:r>
                      <w:r w:rsidR="00201A73">
                        <w:rPr>
                          <w:rFonts w:ascii="Arial Narrow" w:hAnsi="Arial Narrow"/>
                          <w:sz w:val="16"/>
                          <w:szCs w:val="16"/>
                        </w:rPr>
                        <w:t xml:space="preserve"> are </w:t>
                      </w:r>
                      <w:r w:rsidR="00981FC3">
                        <w:rPr>
                          <w:rFonts w:ascii="Arial Narrow" w:hAnsi="Arial Narrow"/>
                          <w:sz w:val="16"/>
                          <w:szCs w:val="16"/>
                        </w:rPr>
                        <w:t xml:space="preserve">likely undercounted </w:t>
                      </w:r>
                      <w:r w:rsidR="005506F6">
                        <w:rPr>
                          <w:rFonts w:ascii="Arial Narrow" w:hAnsi="Arial Narrow"/>
                          <w:sz w:val="16"/>
                          <w:szCs w:val="16"/>
                        </w:rPr>
                        <w:t>due to</w:t>
                      </w:r>
                      <w:r w:rsidR="00981FC3">
                        <w:rPr>
                          <w:rFonts w:ascii="Arial Narrow" w:hAnsi="Arial Narrow"/>
                          <w:sz w:val="16"/>
                          <w:szCs w:val="16"/>
                        </w:rPr>
                        <w:t xml:space="preserve"> reporting lags, numbers will increase in subsequent reports</w:t>
                      </w:r>
                      <w:r w:rsidR="005506F6">
                        <w:rPr>
                          <w:rFonts w:ascii="Arial Narrow" w:hAnsi="Arial Narrow"/>
                          <w:sz w:val="16"/>
                          <w:szCs w:val="16"/>
                        </w:rPr>
                        <w:t>.</w:t>
                      </w:r>
                    </w:p>
                    <w:p w14:paraId="20F96815" w14:textId="67D14005" w:rsidR="00BE3D98" w:rsidRDefault="00BE3D98" w:rsidP="00A57E9C">
                      <w:pPr>
                        <w:pStyle w:val="NoSpacing"/>
                        <w:spacing w:after="40"/>
                        <w:rPr>
                          <w:rFonts w:ascii="Arial Narrow" w:hAnsi="Arial Narrow"/>
                          <w:sz w:val="16"/>
                          <w:szCs w:val="16"/>
                        </w:rPr>
                      </w:pPr>
                      <w:r w:rsidRPr="0080474D">
                        <w:rPr>
                          <w:rFonts w:ascii="Arial Narrow" w:hAnsi="Arial Narrow"/>
                          <w:b/>
                          <w:bCs/>
                          <w:sz w:val="16"/>
                          <w:szCs w:val="16"/>
                        </w:rPr>
                        <w:t>Case Definition</w:t>
                      </w:r>
                      <w:r w:rsidR="00694182" w:rsidRPr="0080474D">
                        <w:rPr>
                          <w:rFonts w:ascii="Arial Narrow" w:hAnsi="Arial Narrow"/>
                          <w:b/>
                          <w:bCs/>
                          <w:sz w:val="16"/>
                          <w:szCs w:val="16"/>
                        </w:rPr>
                        <w:t>s</w:t>
                      </w:r>
                      <w:r w:rsidRPr="0080474D">
                        <w:rPr>
                          <w:rFonts w:ascii="Arial Narrow" w:hAnsi="Arial Narrow"/>
                          <w:sz w:val="16"/>
                          <w:szCs w:val="16"/>
                        </w:rPr>
                        <w:t>: Please look at our Opioid Overdose Surveillance Preliminary Report Georgia, 20</w:t>
                      </w:r>
                      <w:r w:rsidR="00AD14F6">
                        <w:rPr>
                          <w:rFonts w:ascii="Arial Narrow" w:hAnsi="Arial Narrow"/>
                          <w:sz w:val="16"/>
                          <w:szCs w:val="16"/>
                        </w:rPr>
                        <w:t>21</w:t>
                      </w:r>
                      <w:r w:rsidRPr="0080474D">
                        <w:rPr>
                          <w:rFonts w:ascii="Arial Narrow" w:hAnsi="Arial Narrow"/>
                          <w:sz w:val="16"/>
                          <w:szCs w:val="16"/>
                        </w:rPr>
                        <w:t xml:space="preserve"> for detailed case definition</w:t>
                      </w:r>
                      <w:r w:rsidR="00694182" w:rsidRPr="0080474D">
                        <w:rPr>
                          <w:rFonts w:ascii="Arial Narrow" w:hAnsi="Arial Narrow"/>
                          <w:sz w:val="16"/>
                          <w:szCs w:val="16"/>
                        </w:rPr>
                        <w:t>s</w:t>
                      </w:r>
                      <w:r w:rsidRPr="0080474D">
                        <w:rPr>
                          <w:rFonts w:ascii="Arial Narrow" w:hAnsi="Arial Narrow"/>
                          <w:sz w:val="16"/>
                          <w:szCs w:val="16"/>
                        </w:rPr>
                        <w:t xml:space="preserve">. </w:t>
                      </w:r>
                      <w:r w:rsidR="00981FC3">
                        <w:rPr>
                          <w:rFonts w:ascii="Arial Narrow" w:hAnsi="Arial Narrow"/>
                          <w:sz w:val="16"/>
                          <w:szCs w:val="16"/>
                        </w:rPr>
                        <w:t>Q1: January-March, Q2: April-</w:t>
                      </w:r>
                      <w:r w:rsidR="00090414">
                        <w:rPr>
                          <w:rFonts w:ascii="Arial Narrow" w:hAnsi="Arial Narrow"/>
                          <w:sz w:val="16"/>
                          <w:szCs w:val="16"/>
                        </w:rPr>
                        <w:t>June</w:t>
                      </w:r>
                      <w:r w:rsidR="00981FC3">
                        <w:rPr>
                          <w:rFonts w:ascii="Arial Narrow" w:hAnsi="Arial Narrow"/>
                          <w:sz w:val="16"/>
                          <w:szCs w:val="16"/>
                        </w:rPr>
                        <w:t>, Q3: J</w:t>
                      </w:r>
                      <w:r w:rsidR="00090414">
                        <w:rPr>
                          <w:rFonts w:ascii="Arial Narrow" w:hAnsi="Arial Narrow"/>
                          <w:sz w:val="16"/>
                          <w:szCs w:val="16"/>
                        </w:rPr>
                        <w:t>uly</w:t>
                      </w:r>
                      <w:r w:rsidR="00981FC3">
                        <w:rPr>
                          <w:rFonts w:ascii="Arial Narrow" w:hAnsi="Arial Narrow"/>
                          <w:sz w:val="16"/>
                          <w:szCs w:val="16"/>
                        </w:rPr>
                        <w:t>-</w:t>
                      </w:r>
                      <w:r w:rsidR="00090414">
                        <w:rPr>
                          <w:rFonts w:ascii="Arial Narrow" w:hAnsi="Arial Narrow"/>
                          <w:sz w:val="16"/>
                          <w:szCs w:val="16"/>
                        </w:rPr>
                        <w:t>September</w:t>
                      </w:r>
                      <w:r w:rsidR="00981FC3">
                        <w:rPr>
                          <w:rFonts w:ascii="Arial Narrow" w:hAnsi="Arial Narrow"/>
                          <w:sz w:val="16"/>
                          <w:szCs w:val="16"/>
                        </w:rPr>
                        <w:t xml:space="preserve">, Q4: </w:t>
                      </w:r>
                      <w:r w:rsidR="00090414">
                        <w:rPr>
                          <w:rFonts w:ascii="Arial Narrow" w:hAnsi="Arial Narrow"/>
                          <w:sz w:val="16"/>
                          <w:szCs w:val="16"/>
                        </w:rPr>
                        <w:t>Octo</w:t>
                      </w:r>
                      <w:r w:rsidR="00981FC3">
                        <w:rPr>
                          <w:rFonts w:ascii="Arial Narrow" w:hAnsi="Arial Narrow"/>
                          <w:sz w:val="16"/>
                          <w:szCs w:val="16"/>
                        </w:rPr>
                        <w:t xml:space="preserve">ber-December. </w:t>
                      </w:r>
                    </w:p>
                    <w:p w14:paraId="3C0AB4B8" w14:textId="77777777" w:rsidR="001A7955" w:rsidRPr="0080474D" w:rsidRDefault="001A7955" w:rsidP="0080474D">
                      <w:pPr>
                        <w:pStyle w:val="NoSpacing"/>
                        <w:spacing w:line="48" w:lineRule="auto"/>
                        <w:rPr>
                          <w:rFonts w:ascii="Arial Narrow" w:hAnsi="Arial Narrow"/>
                          <w:sz w:val="16"/>
                          <w:szCs w:val="16"/>
                        </w:rPr>
                      </w:pPr>
                    </w:p>
                    <w:p w14:paraId="1B1AB0B1" w14:textId="4B13403B" w:rsidR="00BE3D98" w:rsidRPr="0080474D" w:rsidRDefault="00BE3D98" w:rsidP="0080474D">
                      <w:pPr>
                        <w:pStyle w:val="NoSpacing"/>
                        <w:jc w:val="center"/>
                        <w:rPr>
                          <w:rFonts w:ascii="Arial Narrow" w:hAnsi="Arial Narrow"/>
                          <w:noProof/>
                          <w:sz w:val="16"/>
                          <w:szCs w:val="16"/>
                        </w:rPr>
                      </w:pPr>
                      <w:r w:rsidRPr="0080474D">
                        <w:rPr>
                          <w:rFonts w:ascii="Arial Narrow" w:hAnsi="Arial Narrow"/>
                          <w:b/>
                          <w:bCs/>
                          <w:sz w:val="16"/>
                          <w:szCs w:val="16"/>
                        </w:rPr>
                        <w:t>Note:</w:t>
                      </w:r>
                      <w:r w:rsidRPr="0080474D">
                        <w:rPr>
                          <w:rFonts w:ascii="Arial Narrow" w:hAnsi="Arial Narrow"/>
                          <w:b/>
                          <w:sz w:val="16"/>
                          <w:szCs w:val="16"/>
                        </w:rPr>
                        <w:t xml:space="preserve"> Quarterly 20</w:t>
                      </w:r>
                      <w:r w:rsidR="00006127">
                        <w:rPr>
                          <w:rFonts w:ascii="Arial Narrow" w:hAnsi="Arial Narrow"/>
                          <w:b/>
                          <w:sz w:val="16"/>
                          <w:szCs w:val="16"/>
                        </w:rPr>
                        <w:t>20</w:t>
                      </w:r>
                      <w:r w:rsidRPr="0080474D">
                        <w:rPr>
                          <w:rFonts w:ascii="Arial Narrow" w:hAnsi="Arial Narrow"/>
                          <w:b/>
                          <w:sz w:val="16"/>
                          <w:szCs w:val="16"/>
                        </w:rPr>
                        <w:t xml:space="preserve"> data is preliminary and subject to change.</w:t>
                      </w:r>
                    </w:p>
                    <w:p w14:paraId="69F93F94" w14:textId="77777777" w:rsidR="00BE3D98" w:rsidRPr="0080474D" w:rsidRDefault="00BE3D98" w:rsidP="0080474D">
                      <w:pPr>
                        <w:pStyle w:val="NoSpacing"/>
                        <w:rPr>
                          <w:rFonts w:ascii="Arial Narrow" w:hAnsi="Arial Narrow"/>
                          <w:sz w:val="16"/>
                          <w:szCs w:val="16"/>
                        </w:rPr>
                      </w:pPr>
                    </w:p>
                    <w:p w14:paraId="1A090355" w14:textId="77777777" w:rsidR="00BE3D98" w:rsidRPr="0080474D" w:rsidRDefault="00BE3D98" w:rsidP="0080474D">
                      <w:pPr>
                        <w:pStyle w:val="NoSpacing"/>
                        <w:rPr>
                          <w:rFonts w:ascii="Arial Narrow" w:hAnsi="Arial Narrow"/>
                          <w:sz w:val="16"/>
                          <w:szCs w:val="16"/>
                        </w:rPr>
                      </w:pPr>
                    </w:p>
                  </w:txbxContent>
                </v:textbox>
                <w10:wrap anchorx="margin"/>
              </v:shape>
            </w:pict>
          </mc:Fallback>
        </mc:AlternateContent>
      </w:r>
    </w:p>
    <w:p w14:paraId="04ED7166" w14:textId="17F28FEE" w:rsidR="00BB568C" w:rsidRPr="00BB568C" w:rsidRDefault="00B60C64" w:rsidP="00BB568C">
      <w:r>
        <w:rPr>
          <w:noProof/>
        </w:rPr>
        <w:drawing>
          <wp:anchor distT="0" distB="0" distL="114300" distR="114300" simplePos="0" relativeHeight="251754496" behindDoc="1" locked="0" layoutInCell="1" allowOverlap="1" wp14:anchorId="28C9F886" wp14:editId="3BA5DE29">
            <wp:simplePos x="0" y="0"/>
            <wp:positionH relativeFrom="column">
              <wp:posOffset>-468630</wp:posOffset>
            </wp:positionH>
            <wp:positionV relativeFrom="paragraph">
              <wp:posOffset>91440</wp:posOffset>
            </wp:positionV>
            <wp:extent cx="5486400" cy="1965960"/>
            <wp:effectExtent l="0" t="0" r="0" b="0"/>
            <wp:wrapTight wrapText="bothSides">
              <wp:wrapPolygon edited="0">
                <wp:start x="0" y="0"/>
                <wp:lineTo x="0" y="21349"/>
                <wp:lineTo x="21525" y="21349"/>
                <wp:lineTo x="21525" y="0"/>
                <wp:lineTo x="0" y="0"/>
              </wp:wrapPolygon>
            </wp:wrapTight>
            <wp:docPr id="2" name="Chart 2">
              <a:extLst xmlns:a="http://schemas.openxmlformats.org/drawingml/2006/main">
                <a:ext uri="{FF2B5EF4-FFF2-40B4-BE49-F238E27FC236}">
                  <a16:creationId xmlns:a16="http://schemas.microsoft.com/office/drawing/2014/main" id="{9932A781-B195-44C1-87FB-00B54CDAC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423FC0C" w14:textId="53E5895B" w:rsidR="00BB568C" w:rsidRDefault="00937DC8" w:rsidP="00BE3D98">
      <w:pPr>
        <w:spacing w:after="120"/>
        <w:jc w:val="center"/>
        <w:rPr>
          <w:rFonts w:ascii="Segoe UI" w:hAnsi="Segoe UI" w:cs="Segoe UI"/>
          <w:b/>
          <w:bCs/>
          <w:sz w:val="20"/>
          <w:szCs w:val="20"/>
        </w:rPr>
      </w:pPr>
      <w:r w:rsidRPr="00C4714C">
        <w:rPr>
          <w:rFonts w:ascii="Arial Narrow" w:hAnsi="Arial Narrow"/>
          <w:noProof/>
        </w:rPr>
        <mc:AlternateContent>
          <mc:Choice Requires="wps">
            <w:drawing>
              <wp:anchor distT="45720" distB="45720" distL="114300" distR="114300" simplePos="0" relativeHeight="251635712" behindDoc="0" locked="0" layoutInCell="1" allowOverlap="1" wp14:anchorId="75C79E9D" wp14:editId="70E40B95">
                <wp:simplePos x="0" y="0"/>
                <wp:positionH relativeFrom="page">
                  <wp:posOffset>5972810</wp:posOffset>
                </wp:positionH>
                <wp:positionV relativeFrom="paragraph">
                  <wp:posOffset>86783</wp:posOffset>
                </wp:positionV>
                <wp:extent cx="1400175" cy="1143000"/>
                <wp:effectExtent l="19050" t="1905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43000"/>
                        </a:xfrm>
                        <a:prstGeom prst="roundRect">
                          <a:avLst/>
                        </a:prstGeom>
                        <a:solidFill>
                          <a:srgbClr val="ED1C28"/>
                        </a:solidFill>
                        <a:ln w="31750">
                          <a:solidFill>
                            <a:schemeClr val="tx1"/>
                          </a:solidFill>
                          <a:prstDash val="sysDot"/>
                          <a:miter lim="800000"/>
                          <a:headEnd/>
                          <a:tailEnd/>
                        </a:ln>
                      </wps:spPr>
                      <wps:txbx>
                        <w:txbxContent>
                          <w:p w14:paraId="6F26AB09" w14:textId="0F92AE68" w:rsidR="005506F6" w:rsidRPr="00223527" w:rsidRDefault="005506F6" w:rsidP="004B060E">
                            <w:pPr>
                              <w:pStyle w:val="NoSpacing"/>
                              <w:rPr>
                                <w:rFonts w:ascii="Arial" w:hAnsi="Arial" w:cs="Segoe UI"/>
                                <w:color w:val="FFFFFF" w:themeColor="background1"/>
                                <w:sz w:val="18"/>
                                <w:szCs w:val="18"/>
                              </w:rPr>
                            </w:pPr>
                            <w:r w:rsidRPr="00223527">
                              <w:rPr>
                                <w:rFonts w:ascii="Arial" w:hAnsi="Arial" w:cs="Segoe UI"/>
                                <w:color w:val="FFFFFF" w:themeColor="background1"/>
                                <w:sz w:val="18"/>
                                <w:szCs w:val="18"/>
                              </w:rPr>
                              <w:t>Death</w:t>
                            </w:r>
                            <w:r w:rsidR="004B060E" w:rsidRPr="00223527">
                              <w:rPr>
                                <w:rFonts w:ascii="Arial" w:hAnsi="Arial" w:cs="Segoe UI"/>
                                <w:color w:val="FFFFFF" w:themeColor="background1"/>
                                <w:sz w:val="18"/>
                                <w:szCs w:val="18"/>
                              </w:rPr>
                              <w:t>s</w:t>
                            </w:r>
                            <w:r w:rsidRPr="00223527">
                              <w:rPr>
                                <w:rFonts w:ascii="Arial" w:hAnsi="Arial" w:cs="Segoe UI"/>
                                <w:color w:val="FFFFFF" w:themeColor="background1"/>
                                <w:sz w:val="18"/>
                                <w:szCs w:val="18"/>
                              </w:rPr>
                              <w:t xml:space="preserve"> in the most recent quarter </w:t>
                            </w:r>
                            <w:r w:rsidR="004B060E" w:rsidRPr="00223527">
                              <w:rPr>
                                <w:rFonts w:ascii="Arial" w:hAnsi="Arial" w:cs="Segoe UI"/>
                                <w:color w:val="FFFFFF" w:themeColor="background1"/>
                                <w:sz w:val="18"/>
                                <w:szCs w:val="18"/>
                              </w:rPr>
                              <w:t>are</w:t>
                            </w:r>
                            <w:r w:rsidRPr="00223527">
                              <w:rPr>
                                <w:rFonts w:ascii="Arial" w:hAnsi="Arial" w:cs="Segoe UI"/>
                                <w:color w:val="FFFFFF" w:themeColor="background1"/>
                                <w:sz w:val="18"/>
                                <w:szCs w:val="18"/>
                              </w:rPr>
                              <w:t xml:space="preserve"> likely undercounted due to reporting lags, numbers will increase in subsequent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C79E9D" id="_x0000_s1027" style="position:absolute;left:0;text-align:left;margin-left:470.3pt;margin-top:6.85pt;width:110.25pt;height:90pt;z-index:25163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" fillcolor="#ed1c28" strokecolor="black [3213]" strokeweight="2.5pt">
                <v:stroke dashstyle="1 1" joinstyle="miter"/>
                <v:textbox>
                  <w:txbxContent>
                    <w:p w14:paraId="6F26AB09" w14:textId="0F92AE68" w:rsidR="005506F6" w:rsidRPr="00223527" w:rsidRDefault="005506F6" w:rsidP="004B060E">
                      <w:pPr>
                        <w:pStyle w:val="NoSpacing"/>
                        <w:rPr>
                          <w:rFonts w:ascii="Arial" w:hAnsi="Arial" w:cs="Segoe UI"/>
                          <w:color w:val="FFFFFF" w:themeColor="background1"/>
                          <w:sz w:val="18"/>
                          <w:szCs w:val="18"/>
                        </w:rPr>
                      </w:pPr>
                      <w:r w:rsidRPr="00223527">
                        <w:rPr>
                          <w:rFonts w:ascii="Arial" w:hAnsi="Arial" w:cs="Segoe UI"/>
                          <w:color w:val="FFFFFF" w:themeColor="background1"/>
                          <w:sz w:val="18"/>
                          <w:szCs w:val="18"/>
                        </w:rPr>
                        <w:t>Death</w:t>
                      </w:r>
                      <w:r w:rsidR="004B060E" w:rsidRPr="00223527">
                        <w:rPr>
                          <w:rFonts w:ascii="Arial" w:hAnsi="Arial" w:cs="Segoe UI"/>
                          <w:color w:val="FFFFFF" w:themeColor="background1"/>
                          <w:sz w:val="18"/>
                          <w:szCs w:val="18"/>
                        </w:rPr>
                        <w:t>s</w:t>
                      </w:r>
                      <w:r w:rsidRPr="00223527">
                        <w:rPr>
                          <w:rFonts w:ascii="Arial" w:hAnsi="Arial" w:cs="Segoe UI"/>
                          <w:color w:val="FFFFFF" w:themeColor="background1"/>
                          <w:sz w:val="18"/>
                          <w:szCs w:val="18"/>
                        </w:rPr>
                        <w:t xml:space="preserve"> in the most recent quarter </w:t>
                      </w:r>
                      <w:r w:rsidR="004B060E" w:rsidRPr="00223527">
                        <w:rPr>
                          <w:rFonts w:ascii="Arial" w:hAnsi="Arial" w:cs="Segoe UI"/>
                          <w:color w:val="FFFFFF" w:themeColor="background1"/>
                          <w:sz w:val="18"/>
                          <w:szCs w:val="18"/>
                        </w:rPr>
                        <w:t>are</w:t>
                      </w:r>
                      <w:r w:rsidRPr="00223527">
                        <w:rPr>
                          <w:rFonts w:ascii="Arial" w:hAnsi="Arial" w:cs="Segoe UI"/>
                          <w:color w:val="FFFFFF" w:themeColor="background1"/>
                          <w:sz w:val="18"/>
                          <w:szCs w:val="18"/>
                        </w:rPr>
                        <w:t xml:space="preserve"> likely undercounted due to reporting lags, numbers will increase in subsequent reports.</w:t>
                      </w:r>
                    </w:p>
                  </w:txbxContent>
                </v:textbox>
                <w10:wrap anchorx="page"/>
              </v:roundrect>
            </w:pict>
          </mc:Fallback>
        </mc:AlternateContent>
      </w:r>
    </w:p>
    <w:p w14:paraId="0C1EFC57" w14:textId="2F766984" w:rsidR="00097CC3" w:rsidRDefault="00097CC3" w:rsidP="00915B33">
      <w:pPr>
        <w:spacing w:after="120"/>
        <w:rPr>
          <w:noProof/>
        </w:rPr>
      </w:pPr>
    </w:p>
    <w:p w14:paraId="1BC346C3" w14:textId="507B75A6" w:rsidR="00097CC3" w:rsidRDefault="00171DBF" w:rsidP="00915B33">
      <w:pPr>
        <w:spacing w:after="120"/>
        <w:rPr>
          <w:rFonts w:ascii="Tw Cen MT" w:eastAsia="Times New Roman" w:hAnsi="Tw Cen MT" w:cs="Times New Roman"/>
          <w:noProof/>
        </w:rPr>
      </w:pPr>
      <w:r w:rsidRPr="00BE3D98">
        <w:rPr>
          <w:rFonts w:ascii="Tw Cen MT" w:eastAsia="Times New Roman" w:hAnsi="Tw Cen MT" w:cs="Times New Roman"/>
          <w:noProof/>
        </w:rPr>
        <w:t xml:space="preserve"> </w:t>
      </w:r>
      <w:r w:rsidR="008739B6">
        <w:rPr>
          <w:noProof/>
        </w:rPr>
        <w:t xml:space="preserve"> </w:t>
      </w:r>
      <w:r w:rsidR="008739B6" w:rsidRPr="00BE3D98">
        <w:rPr>
          <w:rFonts w:ascii="Tw Cen MT" w:eastAsia="Times New Roman" w:hAnsi="Tw Cen MT" w:cs="Times New Roman"/>
          <w:noProof/>
        </w:rPr>
        <w:t xml:space="preserve"> </w:t>
      </w:r>
    </w:p>
    <w:p w14:paraId="4009080F" w14:textId="4BA01258" w:rsidR="00E93D0D" w:rsidRPr="00E93D0D" w:rsidRDefault="00E93D0D" w:rsidP="00E93D0D">
      <w:pPr>
        <w:rPr>
          <w:rFonts w:ascii="Segoe UI" w:hAnsi="Segoe UI" w:cs="Segoe UI"/>
          <w:sz w:val="20"/>
          <w:szCs w:val="20"/>
        </w:rPr>
      </w:pPr>
    </w:p>
    <w:p w14:paraId="571F3D4A" w14:textId="04C0FBFA" w:rsidR="00B62B33" w:rsidRPr="00E93D0D" w:rsidRDefault="00B62B33" w:rsidP="00B62B33">
      <w:pPr>
        <w:rPr>
          <w:rFonts w:ascii="Segoe UI" w:hAnsi="Segoe UI" w:cs="Segoe UI"/>
          <w:sz w:val="20"/>
          <w:szCs w:val="20"/>
        </w:rPr>
      </w:pPr>
    </w:p>
    <w:p w14:paraId="11217F4A" w14:textId="7D63FAD0" w:rsidR="00E93D0D" w:rsidRDefault="00E93D0D" w:rsidP="00AF0113">
      <w:pPr>
        <w:rPr>
          <w:rFonts w:ascii="Segoe UI" w:hAnsi="Segoe UI" w:cs="Segoe UI"/>
          <w:sz w:val="20"/>
          <w:szCs w:val="20"/>
        </w:rPr>
      </w:pPr>
      <w:r>
        <w:rPr>
          <w:rFonts w:ascii="Segoe UI" w:hAnsi="Segoe UI" w:cs="Segoe UI"/>
          <w:sz w:val="20"/>
          <w:szCs w:val="20"/>
        </w:rPr>
        <w:tab/>
      </w:r>
    </w:p>
    <w:p w14:paraId="6D3FE03A" w14:textId="646C943C" w:rsidR="00E93D0D" w:rsidRPr="00E93D0D" w:rsidRDefault="000421B2" w:rsidP="00E93D0D">
      <w:pPr>
        <w:rPr>
          <w:rFonts w:ascii="Segoe UI" w:hAnsi="Segoe UI" w:cs="Segoe UI"/>
          <w:sz w:val="20"/>
          <w:szCs w:val="20"/>
        </w:rPr>
      </w:pPr>
      <w:r>
        <w:rPr>
          <w:noProof/>
        </w:rPr>
        <w:drawing>
          <wp:anchor distT="0" distB="0" distL="114300" distR="114300" simplePos="0" relativeHeight="251755520" behindDoc="1" locked="0" layoutInCell="1" allowOverlap="1" wp14:anchorId="1763314E" wp14:editId="23EEEF6D">
            <wp:simplePos x="0" y="0"/>
            <wp:positionH relativeFrom="column">
              <wp:posOffset>-377190</wp:posOffset>
            </wp:positionH>
            <wp:positionV relativeFrom="paragraph">
              <wp:posOffset>149860</wp:posOffset>
            </wp:positionV>
            <wp:extent cx="5429250" cy="1905000"/>
            <wp:effectExtent l="0" t="0" r="0" b="0"/>
            <wp:wrapTight wrapText="bothSides">
              <wp:wrapPolygon edited="0">
                <wp:start x="0" y="0"/>
                <wp:lineTo x="0" y="21384"/>
                <wp:lineTo x="21524" y="21384"/>
                <wp:lineTo x="21524" y="0"/>
                <wp:lineTo x="0" y="0"/>
              </wp:wrapPolygon>
            </wp:wrapTight>
            <wp:docPr id="11" name="Chart 11">
              <a:extLst xmlns:a="http://schemas.openxmlformats.org/drawingml/2006/main">
                <a:ext uri="{FF2B5EF4-FFF2-40B4-BE49-F238E27FC236}">
                  <a16:creationId xmlns:a16="http://schemas.microsoft.com/office/drawing/2014/main" id="{A09EE5A9-82F4-4548-B881-65A4110666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0719E" w:rsidRPr="00C4714C">
        <w:rPr>
          <w:rFonts w:ascii="Arial Narrow" w:hAnsi="Arial Narrow"/>
          <w:noProof/>
        </w:rPr>
        <mc:AlternateContent>
          <mc:Choice Requires="wps">
            <w:drawing>
              <wp:anchor distT="45720" distB="45720" distL="114300" distR="114300" simplePos="0" relativeHeight="251632640" behindDoc="0" locked="0" layoutInCell="1" allowOverlap="1" wp14:anchorId="351CB683" wp14:editId="409218F0">
                <wp:simplePos x="0" y="0"/>
                <wp:positionH relativeFrom="page">
                  <wp:posOffset>6083935</wp:posOffset>
                </wp:positionH>
                <wp:positionV relativeFrom="paragraph">
                  <wp:posOffset>147311</wp:posOffset>
                </wp:positionV>
                <wp:extent cx="1285875" cy="2914650"/>
                <wp:effectExtent l="19050" t="1905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14650"/>
                        </a:xfrm>
                        <a:prstGeom prst="roundRect">
                          <a:avLst/>
                        </a:prstGeom>
                        <a:solidFill>
                          <a:srgbClr val="ED1C28"/>
                        </a:solidFill>
                        <a:ln w="31750">
                          <a:solidFill>
                            <a:schemeClr val="tx1"/>
                          </a:solidFill>
                          <a:prstDash val="sysDot"/>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103C5131" w14:textId="77777777" w:rsidR="00BE3D98" w:rsidRPr="00223527" w:rsidRDefault="00BE3D98" w:rsidP="001853A8">
                            <w:pPr>
                              <w:rPr>
                                <w:rFonts w:ascii="Arial" w:hAnsi="Arial" w:cs="Arial"/>
                                <w:color w:val="FFFFFF" w:themeColor="background1"/>
                                <w:sz w:val="18"/>
                                <w:szCs w:val="18"/>
                              </w:rPr>
                            </w:pPr>
                            <w:r w:rsidRPr="00223527">
                              <w:rPr>
                                <w:rFonts w:ascii="Arial" w:hAnsi="Arial" w:cs="Arial"/>
                                <w:b/>
                                <w:bCs/>
                                <w:color w:val="FFFFFF" w:themeColor="background1"/>
                                <w:sz w:val="18"/>
                                <w:szCs w:val="18"/>
                              </w:rPr>
                              <w:t xml:space="preserve">Opioids </w:t>
                            </w:r>
                            <w:r w:rsidRPr="00223527">
                              <w:rPr>
                                <w:rFonts w:ascii="Arial" w:hAnsi="Arial" w:cs="Arial"/>
                                <w:color w:val="FFFFFF" w:themeColor="background1"/>
                                <w:sz w:val="18"/>
                                <w:szCs w:val="18"/>
                              </w:rPr>
                              <w:t>include prescription opioid pain relievers (e.g., hydrocodone, oxycodone, and morphine), opioids used to treat addiction (e.g., methadone), as well as heroin, opium, and synthetic opioids (e.g., tramadol and fentanyl that may be prescription or illicitly-manufactured).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CB683" id="_x0000_s1028" style="position:absolute;margin-left:479.05pt;margin-top:11.6pt;width:101.25pt;height:229.5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" fillcolor="#ed1c28" strokecolor="black [3213]" strokeweight="2.5pt">
                <v:stroke dashstyle="1 1" joinstyle="miter"/>
                <v:textbox>
                  <w:txbxContent>
                    <w:p w14:paraId="103C5131" w14:textId="77777777" w:rsidR="00BE3D98" w:rsidRPr="00223527" w:rsidRDefault="00BE3D98" w:rsidP="001853A8">
                      <w:pPr>
                        <w:rPr>
                          <w:rFonts w:ascii="Arial" w:hAnsi="Arial" w:cs="Arial"/>
                          <w:color w:val="FFFFFF" w:themeColor="background1"/>
                          <w:sz w:val="18"/>
                          <w:szCs w:val="18"/>
                        </w:rPr>
                      </w:pPr>
                      <w:r w:rsidRPr="00223527">
                        <w:rPr>
                          <w:rFonts w:ascii="Arial" w:hAnsi="Arial" w:cs="Arial"/>
                          <w:b/>
                          <w:bCs/>
                          <w:color w:val="FFFFFF" w:themeColor="background1"/>
                          <w:sz w:val="18"/>
                          <w:szCs w:val="18"/>
                        </w:rPr>
                        <w:t xml:space="preserve">Opioids </w:t>
                      </w:r>
                      <w:r w:rsidRPr="00223527">
                        <w:rPr>
                          <w:rFonts w:ascii="Arial" w:hAnsi="Arial" w:cs="Arial"/>
                          <w:color w:val="FFFFFF" w:themeColor="background1"/>
                          <w:sz w:val="18"/>
                          <w:szCs w:val="18"/>
                        </w:rPr>
                        <w:t>include prescription opioid pain relievers (e.g., hydrocodone, oxycodone, and morphine), opioids used to treat addiction (e.g., methadone), as well as heroin, opium, and synthetic opioids (e.g., tramadol and fentanyl that may be prescription or illicitly-manufactured).</w:t>
                      </w:r>
                    </w:p>
                  </w:txbxContent>
                </v:textbox>
                <w10:wrap anchorx="page"/>
              </v:roundrect>
            </w:pict>
          </mc:Fallback>
        </mc:AlternateContent>
      </w:r>
    </w:p>
    <w:p w14:paraId="382F26FE" w14:textId="7770772A" w:rsidR="00E93D0D" w:rsidRPr="00E93D0D" w:rsidRDefault="00E93D0D" w:rsidP="00E93D0D">
      <w:pPr>
        <w:rPr>
          <w:rFonts w:ascii="Segoe UI" w:hAnsi="Segoe UI" w:cs="Segoe UI"/>
          <w:sz w:val="20"/>
          <w:szCs w:val="20"/>
        </w:rPr>
      </w:pPr>
    </w:p>
    <w:p w14:paraId="507BEC6C" w14:textId="7829F41E" w:rsidR="00E93D0D" w:rsidRPr="00E93D0D" w:rsidRDefault="00E93D0D" w:rsidP="00E93D0D">
      <w:pPr>
        <w:rPr>
          <w:rFonts w:ascii="Segoe UI" w:hAnsi="Segoe UI" w:cs="Segoe UI"/>
          <w:sz w:val="20"/>
          <w:szCs w:val="20"/>
        </w:rPr>
      </w:pPr>
    </w:p>
    <w:p w14:paraId="0934BC27" w14:textId="3988E3D5" w:rsidR="00E93D0D" w:rsidRPr="00E93D0D" w:rsidRDefault="00E93D0D" w:rsidP="00E93D0D">
      <w:pPr>
        <w:rPr>
          <w:rFonts w:ascii="Segoe UI" w:hAnsi="Segoe UI" w:cs="Segoe UI"/>
          <w:sz w:val="20"/>
          <w:szCs w:val="20"/>
        </w:rPr>
      </w:pPr>
    </w:p>
    <w:p w14:paraId="28BCDDDC" w14:textId="3B3B5F3C" w:rsidR="00E93D0D" w:rsidRPr="00E93D0D" w:rsidRDefault="00E93D0D" w:rsidP="00E93D0D">
      <w:pPr>
        <w:rPr>
          <w:rFonts w:ascii="Segoe UI" w:hAnsi="Segoe UI" w:cs="Segoe UI"/>
          <w:sz w:val="20"/>
          <w:szCs w:val="20"/>
        </w:rPr>
      </w:pPr>
    </w:p>
    <w:p w14:paraId="168F5948" w14:textId="35B18C63" w:rsidR="00E93D0D" w:rsidRPr="00E93D0D" w:rsidRDefault="00E93D0D" w:rsidP="00D7444A">
      <w:pPr>
        <w:pStyle w:val="Subtitle"/>
      </w:pPr>
    </w:p>
    <w:p w14:paraId="633DCE59" w14:textId="3871E680" w:rsidR="00E93D0D" w:rsidRPr="00E93D0D" w:rsidRDefault="00CC2E02" w:rsidP="00E93D0D">
      <w:pPr>
        <w:rPr>
          <w:rFonts w:ascii="Segoe UI" w:hAnsi="Segoe UI" w:cs="Segoe UI"/>
          <w:sz w:val="20"/>
          <w:szCs w:val="20"/>
        </w:rPr>
      </w:pPr>
      <w:r>
        <w:rPr>
          <w:noProof/>
        </w:rPr>
        <w:drawing>
          <wp:anchor distT="0" distB="0" distL="114300" distR="114300" simplePos="0" relativeHeight="251756544" behindDoc="1" locked="0" layoutInCell="1" allowOverlap="1" wp14:anchorId="55E6A292" wp14:editId="363FDAC6">
            <wp:simplePos x="0" y="0"/>
            <wp:positionH relativeFrom="column">
              <wp:posOffset>-323850</wp:posOffset>
            </wp:positionH>
            <wp:positionV relativeFrom="paragraph">
              <wp:posOffset>220345</wp:posOffset>
            </wp:positionV>
            <wp:extent cx="5425440" cy="2160270"/>
            <wp:effectExtent l="0" t="0" r="3810" b="0"/>
            <wp:wrapTight wrapText="bothSides">
              <wp:wrapPolygon edited="0">
                <wp:start x="0" y="0"/>
                <wp:lineTo x="0" y="21333"/>
                <wp:lineTo x="21539" y="21333"/>
                <wp:lineTo x="21539" y="0"/>
                <wp:lineTo x="0" y="0"/>
              </wp:wrapPolygon>
            </wp:wrapTight>
            <wp:docPr id="12" name="Chart 12">
              <a:extLst xmlns:a="http://schemas.openxmlformats.org/drawingml/2006/main">
                <a:ext uri="{FF2B5EF4-FFF2-40B4-BE49-F238E27FC236}">
                  <a16:creationId xmlns:a16="http://schemas.microsoft.com/office/drawing/2014/main" id="{C4AD2E98-1886-49F3-A2A6-CE4294543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01AB263" w14:textId="21B88700" w:rsidR="00E93D0D" w:rsidRDefault="00E93D0D" w:rsidP="00E93D0D">
      <w:pPr>
        <w:rPr>
          <w:rFonts w:ascii="Segoe UI" w:hAnsi="Segoe UI" w:cs="Segoe UI"/>
          <w:sz w:val="20"/>
          <w:szCs w:val="20"/>
        </w:rPr>
      </w:pPr>
    </w:p>
    <w:p w14:paraId="676ED2B2" w14:textId="3F1FBE8D" w:rsidR="00E93D0D" w:rsidRPr="00E93D0D" w:rsidRDefault="005C043E" w:rsidP="005854EE">
      <w:pPr>
        <w:rPr>
          <w:rFonts w:ascii="Segoe UI" w:hAnsi="Segoe UI" w:cs="Segoe UI"/>
          <w:sz w:val="20"/>
          <w:szCs w:val="20"/>
        </w:rPr>
      </w:pPr>
      <w:r>
        <w:rPr>
          <w:noProof/>
        </w:rPr>
        <w:drawing>
          <wp:anchor distT="0" distB="0" distL="114300" distR="114300" simplePos="0" relativeHeight="251757568" behindDoc="1" locked="0" layoutInCell="1" allowOverlap="1" wp14:anchorId="2904CE14" wp14:editId="3616A2EE">
            <wp:simplePos x="0" y="0"/>
            <wp:positionH relativeFrom="margin">
              <wp:align>center</wp:align>
            </wp:positionH>
            <wp:positionV relativeFrom="paragraph">
              <wp:posOffset>1742440</wp:posOffset>
            </wp:positionV>
            <wp:extent cx="7185660" cy="2419350"/>
            <wp:effectExtent l="0" t="0" r="0" b="0"/>
            <wp:wrapTight wrapText="bothSides">
              <wp:wrapPolygon edited="0">
                <wp:start x="0" y="0"/>
                <wp:lineTo x="0" y="21430"/>
                <wp:lineTo x="21531" y="21430"/>
                <wp:lineTo x="21531" y="0"/>
                <wp:lineTo x="0" y="0"/>
              </wp:wrapPolygon>
            </wp:wrapTight>
            <wp:docPr id="13" name="Chart 13">
              <a:extLst xmlns:a="http://schemas.openxmlformats.org/drawingml/2006/main">
                <a:ext uri="{FF2B5EF4-FFF2-40B4-BE49-F238E27FC236}">
                  <a16:creationId xmlns:a16="http://schemas.microsoft.com/office/drawing/2014/main" id="{F527FCC7-687C-4930-9F95-43AACAAAF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sectPr w:rsidR="00E93D0D" w:rsidRPr="00E93D0D" w:rsidSect="00586E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1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DE1A" w14:textId="77777777" w:rsidR="00682511" w:rsidRDefault="00682511" w:rsidP="008E314D">
      <w:pPr>
        <w:spacing w:after="0" w:line="240" w:lineRule="auto"/>
      </w:pPr>
      <w:r>
        <w:separator/>
      </w:r>
    </w:p>
  </w:endnote>
  <w:endnote w:type="continuationSeparator" w:id="0">
    <w:p w14:paraId="0AAD0C99" w14:textId="77777777" w:rsidR="00682511" w:rsidRDefault="00682511" w:rsidP="008E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34EA" w14:textId="77777777" w:rsidR="001C5D2B" w:rsidRDefault="001C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E8E3" w14:textId="674F3C0E" w:rsidR="00383B93" w:rsidRDefault="00901BEC">
    <w:pPr>
      <w:pStyle w:val="Footer"/>
    </w:pPr>
    <w:r>
      <w:rPr>
        <w:noProof/>
      </w:rPr>
      <w:drawing>
        <wp:anchor distT="0" distB="0" distL="114300" distR="114300" simplePos="0" relativeHeight="251663360" behindDoc="1" locked="0" layoutInCell="1" allowOverlap="1" wp14:anchorId="64893BA4" wp14:editId="7232D004">
          <wp:simplePos x="0" y="0"/>
          <wp:positionH relativeFrom="column">
            <wp:posOffset>5907405</wp:posOffset>
          </wp:positionH>
          <wp:positionV relativeFrom="paragraph">
            <wp:posOffset>151130</wp:posOffset>
          </wp:positionV>
          <wp:extent cx="500380" cy="226695"/>
          <wp:effectExtent l="0" t="0" r="0" b="1905"/>
          <wp:wrapTight wrapText="bothSides">
            <wp:wrapPolygon edited="0">
              <wp:start x="3289" y="0"/>
              <wp:lineTo x="0" y="3630"/>
              <wp:lineTo x="0" y="19966"/>
              <wp:lineTo x="20558" y="19966"/>
              <wp:lineTo x="20558" y="0"/>
              <wp:lineTo x="3289"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226695"/>
                  </a:xfrm>
                  <a:prstGeom prst="rect">
                    <a:avLst/>
                  </a:prstGeom>
                  <a:noFill/>
                  <a:ln>
                    <a:noFill/>
                  </a:ln>
                </pic:spPr>
              </pic:pic>
            </a:graphicData>
          </a:graphic>
        </wp:anchor>
      </w:drawing>
    </w:r>
    <w:r w:rsidR="00415AB7" w:rsidRPr="00383B93">
      <w:rPr>
        <w:rFonts w:ascii="Arial Narrow" w:eastAsia="Times New Roman" w:hAnsi="Arial Narrow" w:cs="Times New Roman"/>
        <w:noProof/>
      </w:rPr>
      <mc:AlternateContent>
        <mc:Choice Requires="wps">
          <w:drawing>
            <wp:anchor distT="0" distB="0" distL="114300" distR="114300" simplePos="0" relativeHeight="251661312" behindDoc="0" locked="0" layoutInCell="1" allowOverlap="1" wp14:anchorId="1B0B9864" wp14:editId="114E7D70">
              <wp:simplePos x="0" y="0"/>
              <wp:positionH relativeFrom="margin">
                <wp:posOffset>-675450</wp:posOffset>
              </wp:positionH>
              <wp:positionV relativeFrom="paragraph">
                <wp:posOffset>75565</wp:posOffset>
              </wp:positionV>
              <wp:extent cx="7275830" cy="356235"/>
              <wp:effectExtent l="0" t="0" r="20320" b="43815"/>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356235"/>
                      </a:xfrm>
                      <a:prstGeom prst="rect">
                        <a:avLst/>
                      </a:prstGeom>
                      <a:solidFill>
                        <a:srgbClr val="ED1C28"/>
                      </a:solidFill>
                      <a:ln w="38100">
                        <a:noFill/>
                        <a:miter lim="800000"/>
                        <a:headEnd/>
                        <a:tailEnd/>
                      </a:ln>
                      <a:effectLst>
                        <a:outerShdw dist="28398" dir="3806097" algn="ctr" rotWithShape="0">
                          <a:srgbClr val="4F81BD">
                            <a:lumMod val="50000"/>
                            <a:lumOff val="0"/>
                            <a:alpha val="50000"/>
                          </a:srgbClr>
                        </a:outerShdw>
                      </a:effectLst>
                    </wps:spPr>
                    <wps:txbx>
                      <w:txbxContent>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581"/>
                            <w:gridCol w:w="939"/>
                          </w:tblGrid>
                          <w:tr w:rsidR="00383B93" w:rsidRPr="00F0082C" w14:paraId="2F7CD7A9" w14:textId="77777777" w:rsidTr="00490241">
                            <w:tc>
                              <w:tcPr>
                                <w:tcW w:w="4590" w:type="dxa"/>
                                <w:vAlign w:val="center"/>
                              </w:tcPr>
                              <w:p w14:paraId="07258A09" w14:textId="4DC9B939" w:rsidR="00383B93" w:rsidRPr="006D2E7F" w:rsidRDefault="009C51FE" w:rsidP="0052564D">
                                <w:pPr>
                                  <w:rPr>
                                    <w:rFonts w:ascii="Arial Narrow" w:hAnsi="Arial Narrow" w:cs="Times New Roman"/>
                                    <w:b/>
                                    <w:color w:val="FFFFFF"/>
                                    <w:sz w:val="24"/>
                                    <w:szCs w:val="36"/>
                                  </w:rPr>
                                </w:pPr>
                                <w:r>
                                  <w:rPr>
                                    <w:rFonts w:ascii="Arial Narrow" w:hAnsi="Arial Narrow" w:cs="Times New Roman"/>
                                    <w:b/>
                                    <w:color w:val="FFFFFF"/>
                                    <w:sz w:val="24"/>
                                    <w:szCs w:val="36"/>
                                  </w:rPr>
                                  <w:t>0</w:t>
                                </w:r>
                                <w:r w:rsidR="00AB21C8">
                                  <w:rPr>
                                    <w:rFonts w:ascii="Arial Narrow" w:hAnsi="Arial Narrow" w:cs="Times New Roman"/>
                                    <w:b/>
                                    <w:color w:val="FFFFFF"/>
                                    <w:sz w:val="24"/>
                                    <w:szCs w:val="36"/>
                                  </w:rPr>
                                  <w:t>4</w:t>
                                </w:r>
                                <w:r w:rsidR="008A4519">
                                  <w:rPr>
                                    <w:rFonts w:ascii="Arial Narrow" w:hAnsi="Arial Narrow" w:cs="Times New Roman"/>
                                    <w:b/>
                                    <w:color w:val="FFFFFF"/>
                                    <w:sz w:val="24"/>
                                    <w:szCs w:val="36"/>
                                  </w:rPr>
                                  <w:t>/</w:t>
                                </w:r>
                                <w:r w:rsidR="00291A4B">
                                  <w:rPr>
                                    <w:rFonts w:ascii="Arial Narrow" w:hAnsi="Arial Narrow" w:cs="Times New Roman"/>
                                    <w:b/>
                                    <w:color w:val="FFFFFF"/>
                                    <w:sz w:val="24"/>
                                    <w:szCs w:val="36"/>
                                  </w:rPr>
                                  <w:t>06</w:t>
                                </w:r>
                                <w:r w:rsidR="008A4519">
                                  <w:rPr>
                                    <w:rFonts w:ascii="Arial Narrow" w:hAnsi="Arial Narrow" w:cs="Times New Roman"/>
                                    <w:b/>
                                    <w:color w:val="FFFFFF"/>
                                    <w:sz w:val="24"/>
                                    <w:szCs w:val="36"/>
                                  </w:rPr>
                                  <w:t>/23</w:t>
                                </w:r>
                              </w:p>
                            </w:tc>
                            <w:tc>
                              <w:tcPr>
                                <w:tcW w:w="5581" w:type="dxa"/>
                                <w:vAlign w:val="center"/>
                              </w:tcPr>
                              <w:p w14:paraId="462D2288" w14:textId="502B93DD" w:rsidR="00383B93" w:rsidRPr="006D2E7F" w:rsidRDefault="00383B93" w:rsidP="00FD08D7">
                                <w:pPr>
                                  <w:jc w:val="center"/>
                                  <w:rPr>
                                    <w:rFonts w:ascii="Arial Narrow" w:hAnsi="Arial Narrow" w:cs="Times New Roman"/>
                                    <w:b/>
                                    <w:color w:val="FFFFFF"/>
                                    <w:sz w:val="24"/>
                                    <w:szCs w:val="36"/>
                                  </w:rPr>
                                </w:pPr>
                                <w:r w:rsidRPr="006D2E7F">
                                  <w:rPr>
                                    <w:rFonts w:ascii="Arial Narrow" w:hAnsi="Arial Narrow" w:cs="Times New Roman"/>
                                    <w:b/>
                                    <w:color w:val="FFFFFF"/>
                                    <w:sz w:val="24"/>
                                    <w:szCs w:val="36"/>
                                  </w:rPr>
                                  <w:t>https://dph.georgia.gov/</w:t>
                                </w:r>
                                <w:r w:rsidRPr="00490241">
                                  <w:rPr>
                                    <w:rFonts w:ascii="Arial Narrow" w:hAnsi="Arial Narrow" w:cs="Times New Roman"/>
                                    <w:b/>
                                    <w:color w:val="FFFFFF"/>
                                    <w:sz w:val="24"/>
                                    <w:szCs w:val="36"/>
                                  </w:rPr>
                                  <w:t>drug-surveillance-unit</w:t>
                                </w:r>
                              </w:p>
                            </w:tc>
                            <w:tc>
                              <w:tcPr>
                                <w:tcW w:w="939" w:type="dxa"/>
                                <w:vAlign w:val="center"/>
                              </w:tcPr>
                              <w:p w14:paraId="4C929C23" w14:textId="2AF6259F" w:rsidR="00383B93" w:rsidRPr="006D2E7F" w:rsidRDefault="00383B93" w:rsidP="00C27B88">
                                <w:pPr>
                                  <w:jc w:val="center"/>
                                  <w:rPr>
                                    <w:rFonts w:ascii="Arial Narrow" w:hAnsi="Arial Narrow" w:cs="Times New Roman"/>
                                    <w:b/>
                                    <w:color w:val="FFFFFF"/>
                                    <w:sz w:val="24"/>
                                    <w:szCs w:val="36"/>
                                  </w:rPr>
                                </w:pPr>
                              </w:p>
                            </w:tc>
                          </w:tr>
                        </w:tbl>
                        <w:p w14:paraId="636A4C47" w14:textId="77777777" w:rsidR="00383B93" w:rsidRPr="006D2E7F" w:rsidRDefault="00383B93" w:rsidP="00383B93">
                          <w:pPr>
                            <w:rPr>
                              <w:rFonts w:ascii="Arial Narrow" w:hAnsi="Arial Narrow" w:cs="Times New Roman"/>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B9864" id="_x0000_t202" coordsize="21600,21600" o:spt="202" path="m,l,21600r21600,l21600,xe">
              <v:stroke joinstyle="miter"/>
              <v:path gradientshapeok="t" o:connecttype="rect"/>
            </v:shapetype>
            <v:shape id="Text Box 48" o:spid="_x0000_s1030" type="#_x0000_t202" style="position:absolute;margin-left:-53.2pt;margin-top:5.95pt;width:572.9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" fillcolor="#ed1c28" stroked="f" strokeweight="3pt">
              <v:shadow on="t" color="#254061" opacity=".5" offset="1pt"/>
              <v:textbox>
                <w:txbxContent>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581"/>
                      <w:gridCol w:w="939"/>
                    </w:tblGrid>
                    <w:tr w:rsidR="00383B93" w:rsidRPr="00F0082C" w14:paraId="2F7CD7A9" w14:textId="77777777" w:rsidTr="00490241">
                      <w:tc>
                        <w:tcPr>
                          <w:tcW w:w="4590" w:type="dxa"/>
                          <w:vAlign w:val="center"/>
                        </w:tcPr>
                        <w:p w14:paraId="07258A09" w14:textId="4DC9B939" w:rsidR="00383B93" w:rsidRPr="006D2E7F" w:rsidRDefault="009C51FE" w:rsidP="0052564D">
                          <w:pPr>
                            <w:rPr>
                              <w:rFonts w:ascii="Arial Narrow" w:hAnsi="Arial Narrow" w:cs="Times New Roman"/>
                              <w:b/>
                              <w:color w:val="FFFFFF"/>
                              <w:sz w:val="24"/>
                              <w:szCs w:val="36"/>
                            </w:rPr>
                          </w:pPr>
                          <w:r>
                            <w:rPr>
                              <w:rFonts w:ascii="Arial Narrow" w:hAnsi="Arial Narrow" w:cs="Times New Roman"/>
                              <w:b/>
                              <w:color w:val="FFFFFF"/>
                              <w:sz w:val="24"/>
                              <w:szCs w:val="36"/>
                            </w:rPr>
                            <w:t>0</w:t>
                          </w:r>
                          <w:r w:rsidR="00AB21C8">
                            <w:rPr>
                              <w:rFonts w:ascii="Arial Narrow" w:hAnsi="Arial Narrow" w:cs="Times New Roman"/>
                              <w:b/>
                              <w:color w:val="FFFFFF"/>
                              <w:sz w:val="24"/>
                              <w:szCs w:val="36"/>
                            </w:rPr>
                            <w:t>4</w:t>
                          </w:r>
                          <w:r w:rsidR="008A4519">
                            <w:rPr>
                              <w:rFonts w:ascii="Arial Narrow" w:hAnsi="Arial Narrow" w:cs="Times New Roman"/>
                              <w:b/>
                              <w:color w:val="FFFFFF"/>
                              <w:sz w:val="24"/>
                              <w:szCs w:val="36"/>
                            </w:rPr>
                            <w:t>/</w:t>
                          </w:r>
                          <w:r w:rsidR="00291A4B">
                            <w:rPr>
                              <w:rFonts w:ascii="Arial Narrow" w:hAnsi="Arial Narrow" w:cs="Times New Roman"/>
                              <w:b/>
                              <w:color w:val="FFFFFF"/>
                              <w:sz w:val="24"/>
                              <w:szCs w:val="36"/>
                            </w:rPr>
                            <w:t>06</w:t>
                          </w:r>
                          <w:r w:rsidR="008A4519">
                            <w:rPr>
                              <w:rFonts w:ascii="Arial Narrow" w:hAnsi="Arial Narrow" w:cs="Times New Roman"/>
                              <w:b/>
                              <w:color w:val="FFFFFF"/>
                              <w:sz w:val="24"/>
                              <w:szCs w:val="36"/>
                            </w:rPr>
                            <w:t>/23</w:t>
                          </w:r>
                        </w:p>
                      </w:tc>
                      <w:tc>
                        <w:tcPr>
                          <w:tcW w:w="5581" w:type="dxa"/>
                          <w:vAlign w:val="center"/>
                        </w:tcPr>
                        <w:p w14:paraId="462D2288" w14:textId="502B93DD" w:rsidR="00383B93" w:rsidRPr="006D2E7F" w:rsidRDefault="00383B93" w:rsidP="00FD08D7">
                          <w:pPr>
                            <w:jc w:val="center"/>
                            <w:rPr>
                              <w:rFonts w:ascii="Arial Narrow" w:hAnsi="Arial Narrow" w:cs="Times New Roman"/>
                              <w:b/>
                              <w:color w:val="FFFFFF"/>
                              <w:sz w:val="24"/>
                              <w:szCs w:val="36"/>
                            </w:rPr>
                          </w:pPr>
                          <w:r w:rsidRPr="006D2E7F">
                            <w:rPr>
                              <w:rFonts w:ascii="Arial Narrow" w:hAnsi="Arial Narrow" w:cs="Times New Roman"/>
                              <w:b/>
                              <w:color w:val="FFFFFF"/>
                              <w:sz w:val="24"/>
                              <w:szCs w:val="36"/>
                            </w:rPr>
                            <w:t>https://dph.georgia.gov/</w:t>
                          </w:r>
                          <w:r w:rsidRPr="00490241">
                            <w:rPr>
                              <w:rFonts w:ascii="Arial Narrow" w:hAnsi="Arial Narrow" w:cs="Times New Roman"/>
                              <w:b/>
                              <w:color w:val="FFFFFF"/>
                              <w:sz w:val="24"/>
                              <w:szCs w:val="36"/>
                            </w:rPr>
                            <w:t>drug-surveillance-unit</w:t>
                          </w:r>
                        </w:p>
                      </w:tc>
                      <w:tc>
                        <w:tcPr>
                          <w:tcW w:w="939" w:type="dxa"/>
                          <w:vAlign w:val="center"/>
                        </w:tcPr>
                        <w:p w14:paraId="4C929C23" w14:textId="2AF6259F" w:rsidR="00383B93" w:rsidRPr="006D2E7F" w:rsidRDefault="00383B93" w:rsidP="00C27B88">
                          <w:pPr>
                            <w:jc w:val="center"/>
                            <w:rPr>
                              <w:rFonts w:ascii="Arial Narrow" w:hAnsi="Arial Narrow" w:cs="Times New Roman"/>
                              <w:b/>
                              <w:color w:val="FFFFFF"/>
                              <w:sz w:val="24"/>
                              <w:szCs w:val="36"/>
                            </w:rPr>
                          </w:pPr>
                        </w:p>
                      </w:tc>
                    </w:tr>
                  </w:tbl>
                  <w:p w14:paraId="636A4C47" w14:textId="77777777" w:rsidR="00383B93" w:rsidRPr="006D2E7F" w:rsidRDefault="00383B93" w:rsidP="00383B93">
                    <w:pPr>
                      <w:rPr>
                        <w:rFonts w:ascii="Arial Narrow" w:hAnsi="Arial Narrow" w:cs="Times New Roman"/>
                        <w:b/>
                        <w:color w:val="FFFFFF"/>
                        <w:sz w:val="36"/>
                        <w:szCs w:val="36"/>
                      </w:rPr>
                    </w:pPr>
                  </w:p>
                </w:txbxContent>
              </v:textbox>
              <w10:wrap anchorx="margin"/>
            </v:shape>
          </w:pict>
        </mc:Fallback>
      </mc:AlternateContent>
    </w:r>
  </w:p>
  <w:p w14:paraId="23281034" w14:textId="29B38703" w:rsidR="008E314D" w:rsidRDefault="008E3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C9E2" w14:textId="77777777" w:rsidR="001C5D2B" w:rsidRDefault="001C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C8F2" w14:textId="77777777" w:rsidR="00682511" w:rsidRDefault="00682511" w:rsidP="008E314D">
      <w:pPr>
        <w:spacing w:after="0" w:line="240" w:lineRule="auto"/>
      </w:pPr>
      <w:r>
        <w:separator/>
      </w:r>
    </w:p>
  </w:footnote>
  <w:footnote w:type="continuationSeparator" w:id="0">
    <w:p w14:paraId="6E67C1CB" w14:textId="77777777" w:rsidR="00682511" w:rsidRDefault="00682511" w:rsidP="008E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5DC" w14:textId="77777777" w:rsidR="001C5D2B" w:rsidRDefault="001C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A565" w14:textId="77777777" w:rsidR="008E314D" w:rsidRDefault="008E314D">
    <w:pPr>
      <w:pStyle w:val="Header"/>
    </w:pPr>
    <w:r w:rsidRPr="00035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FD1F7D" wp14:editId="4AE89AF2">
              <wp:simplePos x="0" y="0"/>
              <wp:positionH relativeFrom="margin">
                <wp:posOffset>-621162</wp:posOffset>
              </wp:positionH>
              <wp:positionV relativeFrom="paragraph">
                <wp:posOffset>-85049</wp:posOffset>
              </wp:positionV>
              <wp:extent cx="7171306" cy="329610"/>
              <wp:effectExtent l="0" t="0" r="10795" b="13335"/>
              <wp:wrapNone/>
              <wp:docPr id="1" name="Text Box 1"/>
              <wp:cNvGraphicFramePr/>
              <a:graphic xmlns:a="http://schemas.openxmlformats.org/drawingml/2006/main">
                <a:graphicData uri="http://schemas.microsoft.com/office/word/2010/wordprocessingShape">
                  <wps:wsp>
                    <wps:cNvSpPr txBox="1"/>
                    <wps:spPr>
                      <a:xfrm>
                        <a:off x="0" y="0"/>
                        <a:ext cx="7171306" cy="329610"/>
                      </a:xfrm>
                      <a:prstGeom prst="rect">
                        <a:avLst/>
                      </a:prstGeom>
                      <a:solidFill>
                        <a:srgbClr val="ED1C28"/>
                      </a:solidFill>
                      <a:ln>
                        <a:solidFill>
                          <a:sysClr val="windowText" lastClr="000000"/>
                        </a:solidFill>
                      </a:ln>
                    </wps:spPr>
                    <wps:txbx>
                      <w:txbxContent>
                        <w:p w14:paraId="11123C33" w14:textId="151B6C1A" w:rsidR="008E314D" w:rsidRPr="00F06D95" w:rsidRDefault="008D6368" w:rsidP="008E314D">
                          <w:pPr>
                            <w:spacing w:after="120" w:line="360" w:lineRule="auto"/>
                            <w:jc w:val="center"/>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Preliminary </w:t>
                          </w:r>
                          <w:r w:rsidR="008E314D"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Quarterly </w:t>
                          </w:r>
                          <w:r w:rsidR="00EE6708"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Drug</w:t>
                          </w:r>
                          <w:r w:rsidR="008E314D"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Overdose Surveillance Report Georgia, </w:t>
                          </w:r>
                          <w:r w:rsidR="001C5D2B">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w:t>
                          </w:r>
                          <w:r w:rsidR="00C07AF3">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972923">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w:t>
                          </w:r>
                          <w:r w:rsidR="00524F00">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ember</w:t>
                          </w:r>
                          <w:r w:rsidR="00A332B5"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C07AF3">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039C1C37" w14:textId="77777777" w:rsidR="008E314D" w:rsidRPr="00F06D95" w:rsidRDefault="008E314D" w:rsidP="008E314D">
                          <w:pPr>
                            <w:jc w:val="center"/>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D1F7D" id="_x0000_t202" coordsize="21600,21600" o:spt="202" path="m,l,21600r21600,l21600,xe">
              <v:stroke joinstyle="miter"/>
              <v:path gradientshapeok="t" o:connecttype="rect"/>
            </v:shapetype>
            <v:shape id="Text Box 1" o:spid="_x0000_s1029" type="#_x0000_t202" style="position:absolute;margin-left:-48.9pt;margin-top:-6.7pt;width:564.65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" fillcolor="#ed1c28" strokecolor="windowText">
              <v:textbox>
                <w:txbxContent>
                  <w:p w14:paraId="11123C33" w14:textId="151B6C1A" w:rsidR="008E314D" w:rsidRPr="00F06D95" w:rsidRDefault="008D6368" w:rsidP="008E314D">
                    <w:pPr>
                      <w:spacing w:after="120" w:line="360" w:lineRule="auto"/>
                      <w:jc w:val="center"/>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Preliminary </w:t>
                    </w:r>
                    <w:r w:rsidR="008E314D"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Quarterly </w:t>
                    </w:r>
                    <w:r w:rsidR="00EE6708"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Drug</w:t>
                    </w:r>
                    <w:r w:rsidR="008E314D"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Overdose Surveillance Report Georgia, </w:t>
                    </w:r>
                    <w:r w:rsidR="001C5D2B">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w:t>
                    </w:r>
                    <w:r w:rsidR="00C07AF3">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972923">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w:t>
                    </w:r>
                    <w:r w:rsidR="00524F00">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ember</w:t>
                    </w:r>
                    <w:r w:rsidR="00A332B5" w:rsidRPr="00F06D95">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C07AF3">
                      <w:rPr>
                        <w:rFonts w:ascii="Arial" w:hAnsi="Arial" w:cs="Arial"/>
                        <w:b/>
                        <w:color w:val="FFFFFF" w:themeColor="background1"/>
                        <w:sz w:val="25"/>
                        <w:szCs w:val="2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039C1C37" w14:textId="77777777" w:rsidR="008E314D" w:rsidRPr="00F06D95" w:rsidRDefault="008E314D" w:rsidP="008E314D">
                    <w:pPr>
                      <w:jc w:val="center"/>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5493FCBE" w14:textId="77777777" w:rsidR="008E314D" w:rsidRDefault="008E3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0C83" w14:textId="77777777" w:rsidR="001C5D2B" w:rsidRDefault="001C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5274"/>
    <w:multiLevelType w:val="hybridMultilevel"/>
    <w:tmpl w:val="BA222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968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4D"/>
    <w:rsid w:val="00000FC6"/>
    <w:rsid w:val="00003E98"/>
    <w:rsid w:val="00006127"/>
    <w:rsid w:val="000066B7"/>
    <w:rsid w:val="0000719E"/>
    <w:rsid w:val="000106EC"/>
    <w:rsid w:val="00011A6E"/>
    <w:rsid w:val="0001759E"/>
    <w:rsid w:val="00025B64"/>
    <w:rsid w:val="00027E4A"/>
    <w:rsid w:val="00033471"/>
    <w:rsid w:val="0003472E"/>
    <w:rsid w:val="000421B2"/>
    <w:rsid w:val="000451AC"/>
    <w:rsid w:val="0005242C"/>
    <w:rsid w:val="00080E26"/>
    <w:rsid w:val="00086BD1"/>
    <w:rsid w:val="00090414"/>
    <w:rsid w:val="00092ECE"/>
    <w:rsid w:val="000963B3"/>
    <w:rsid w:val="00097CC3"/>
    <w:rsid w:val="000B1687"/>
    <w:rsid w:val="000C307F"/>
    <w:rsid w:val="000C56C3"/>
    <w:rsid w:val="000D70BA"/>
    <w:rsid w:val="000E5FA1"/>
    <w:rsid w:val="000F1F6F"/>
    <w:rsid w:val="000F54E7"/>
    <w:rsid w:val="00101B34"/>
    <w:rsid w:val="00101C7F"/>
    <w:rsid w:val="00107EA2"/>
    <w:rsid w:val="00110E39"/>
    <w:rsid w:val="00123EF9"/>
    <w:rsid w:val="0013096E"/>
    <w:rsid w:val="00132713"/>
    <w:rsid w:val="00135DA6"/>
    <w:rsid w:val="00136DA4"/>
    <w:rsid w:val="00145E84"/>
    <w:rsid w:val="0015107B"/>
    <w:rsid w:val="00151273"/>
    <w:rsid w:val="00171DBF"/>
    <w:rsid w:val="0017401B"/>
    <w:rsid w:val="001853A8"/>
    <w:rsid w:val="0018636D"/>
    <w:rsid w:val="001932C7"/>
    <w:rsid w:val="001A026C"/>
    <w:rsid w:val="001A7955"/>
    <w:rsid w:val="001B7314"/>
    <w:rsid w:val="001C2949"/>
    <w:rsid w:val="001C5D2B"/>
    <w:rsid w:val="001E6ACD"/>
    <w:rsid w:val="001E7DCE"/>
    <w:rsid w:val="001F59CF"/>
    <w:rsid w:val="001F6F47"/>
    <w:rsid w:val="00201A73"/>
    <w:rsid w:val="00214A64"/>
    <w:rsid w:val="00222318"/>
    <w:rsid w:val="00223527"/>
    <w:rsid w:val="002340B8"/>
    <w:rsid w:val="00241C1D"/>
    <w:rsid w:val="002668D8"/>
    <w:rsid w:val="002815C9"/>
    <w:rsid w:val="002836E8"/>
    <w:rsid w:val="00290A80"/>
    <w:rsid w:val="00291A4B"/>
    <w:rsid w:val="002938F4"/>
    <w:rsid w:val="002B5021"/>
    <w:rsid w:val="002C063B"/>
    <w:rsid w:val="002C2679"/>
    <w:rsid w:val="002D3842"/>
    <w:rsid w:val="002D50DC"/>
    <w:rsid w:val="002D627D"/>
    <w:rsid w:val="002F0C8E"/>
    <w:rsid w:val="002F1B76"/>
    <w:rsid w:val="0030250B"/>
    <w:rsid w:val="0030294D"/>
    <w:rsid w:val="0031723F"/>
    <w:rsid w:val="003350AB"/>
    <w:rsid w:val="00336529"/>
    <w:rsid w:val="00340FDF"/>
    <w:rsid w:val="00342A73"/>
    <w:rsid w:val="003475F4"/>
    <w:rsid w:val="00353A15"/>
    <w:rsid w:val="00357270"/>
    <w:rsid w:val="0037129C"/>
    <w:rsid w:val="00383979"/>
    <w:rsid w:val="00383B93"/>
    <w:rsid w:val="00384B9E"/>
    <w:rsid w:val="00397EE9"/>
    <w:rsid w:val="003B01BE"/>
    <w:rsid w:val="003B1DA9"/>
    <w:rsid w:val="003B261D"/>
    <w:rsid w:val="003C3164"/>
    <w:rsid w:val="003E22C0"/>
    <w:rsid w:val="003E5430"/>
    <w:rsid w:val="003E58FC"/>
    <w:rsid w:val="003E75B7"/>
    <w:rsid w:val="003F1F2D"/>
    <w:rsid w:val="003F7A87"/>
    <w:rsid w:val="004067EC"/>
    <w:rsid w:val="00415AB7"/>
    <w:rsid w:val="0041602E"/>
    <w:rsid w:val="0043347C"/>
    <w:rsid w:val="00434D67"/>
    <w:rsid w:val="00434E06"/>
    <w:rsid w:val="00436107"/>
    <w:rsid w:val="00441971"/>
    <w:rsid w:val="00450BFA"/>
    <w:rsid w:val="004512F2"/>
    <w:rsid w:val="004526C7"/>
    <w:rsid w:val="004574E1"/>
    <w:rsid w:val="00460656"/>
    <w:rsid w:val="00460EC0"/>
    <w:rsid w:val="00472FD5"/>
    <w:rsid w:val="004760AA"/>
    <w:rsid w:val="00477565"/>
    <w:rsid w:val="00487ECB"/>
    <w:rsid w:val="00490D74"/>
    <w:rsid w:val="004950B2"/>
    <w:rsid w:val="004B060E"/>
    <w:rsid w:val="004B106F"/>
    <w:rsid w:val="004B3D50"/>
    <w:rsid w:val="004C746E"/>
    <w:rsid w:val="004C7E87"/>
    <w:rsid w:val="004D1CFF"/>
    <w:rsid w:val="004D4F21"/>
    <w:rsid w:val="004D5DD5"/>
    <w:rsid w:val="004D6D58"/>
    <w:rsid w:val="004E709B"/>
    <w:rsid w:val="004F3CEB"/>
    <w:rsid w:val="004F5016"/>
    <w:rsid w:val="004F53A5"/>
    <w:rsid w:val="004F75E3"/>
    <w:rsid w:val="00510081"/>
    <w:rsid w:val="00512020"/>
    <w:rsid w:val="00515B87"/>
    <w:rsid w:val="00517048"/>
    <w:rsid w:val="005213B8"/>
    <w:rsid w:val="00524F00"/>
    <w:rsid w:val="005506F6"/>
    <w:rsid w:val="00561C3C"/>
    <w:rsid w:val="00573C40"/>
    <w:rsid w:val="005854CE"/>
    <w:rsid w:val="005854EE"/>
    <w:rsid w:val="00586E97"/>
    <w:rsid w:val="005933DD"/>
    <w:rsid w:val="005933F0"/>
    <w:rsid w:val="00597197"/>
    <w:rsid w:val="00597E6A"/>
    <w:rsid w:val="005A1AAB"/>
    <w:rsid w:val="005A5B71"/>
    <w:rsid w:val="005B2373"/>
    <w:rsid w:val="005C043E"/>
    <w:rsid w:val="005C2FEF"/>
    <w:rsid w:val="005C72B2"/>
    <w:rsid w:val="005E5466"/>
    <w:rsid w:val="005E6F51"/>
    <w:rsid w:val="005E7F00"/>
    <w:rsid w:val="005F0355"/>
    <w:rsid w:val="005F3304"/>
    <w:rsid w:val="005F42CE"/>
    <w:rsid w:val="005F72DD"/>
    <w:rsid w:val="00607A2C"/>
    <w:rsid w:val="00623059"/>
    <w:rsid w:val="00624F7C"/>
    <w:rsid w:val="00630801"/>
    <w:rsid w:val="006368DC"/>
    <w:rsid w:val="00640806"/>
    <w:rsid w:val="0064452E"/>
    <w:rsid w:val="00647FD9"/>
    <w:rsid w:val="006509F0"/>
    <w:rsid w:val="006523E4"/>
    <w:rsid w:val="00666DF4"/>
    <w:rsid w:val="00682511"/>
    <w:rsid w:val="00694182"/>
    <w:rsid w:val="006967D7"/>
    <w:rsid w:val="006B2FFA"/>
    <w:rsid w:val="006B682E"/>
    <w:rsid w:val="006D4936"/>
    <w:rsid w:val="006D7219"/>
    <w:rsid w:val="006E2BE7"/>
    <w:rsid w:val="006E6326"/>
    <w:rsid w:val="006E69D1"/>
    <w:rsid w:val="006F21B5"/>
    <w:rsid w:val="006F283D"/>
    <w:rsid w:val="007043E8"/>
    <w:rsid w:val="00711AE1"/>
    <w:rsid w:val="00721219"/>
    <w:rsid w:val="00724255"/>
    <w:rsid w:val="00727E91"/>
    <w:rsid w:val="0073437C"/>
    <w:rsid w:val="007412C6"/>
    <w:rsid w:val="00741870"/>
    <w:rsid w:val="007520BD"/>
    <w:rsid w:val="00760724"/>
    <w:rsid w:val="00765968"/>
    <w:rsid w:val="0076718A"/>
    <w:rsid w:val="007712D8"/>
    <w:rsid w:val="00771FAF"/>
    <w:rsid w:val="00773546"/>
    <w:rsid w:val="00785E90"/>
    <w:rsid w:val="00790C0D"/>
    <w:rsid w:val="007919FA"/>
    <w:rsid w:val="007A34C4"/>
    <w:rsid w:val="007B3008"/>
    <w:rsid w:val="007B57C1"/>
    <w:rsid w:val="007C1EEF"/>
    <w:rsid w:val="007D0854"/>
    <w:rsid w:val="007D225F"/>
    <w:rsid w:val="007D6DEF"/>
    <w:rsid w:val="007E32B4"/>
    <w:rsid w:val="007E50CE"/>
    <w:rsid w:val="007F17D5"/>
    <w:rsid w:val="0080474D"/>
    <w:rsid w:val="008057E3"/>
    <w:rsid w:val="008105EC"/>
    <w:rsid w:val="008133F6"/>
    <w:rsid w:val="00814840"/>
    <w:rsid w:val="00816677"/>
    <w:rsid w:val="00823B24"/>
    <w:rsid w:val="00826CB0"/>
    <w:rsid w:val="008364F1"/>
    <w:rsid w:val="00852ADB"/>
    <w:rsid w:val="00853CDD"/>
    <w:rsid w:val="00854B59"/>
    <w:rsid w:val="008606FA"/>
    <w:rsid w:val="00864D78"/>
    <w:rsid w:val="00865251"/>
    <w:rsid w:val="00867071"/>
    <w:rsid w:val="008739B6"/>
    <w:rsid w:val="00873D21"/>
    <w:rsid w:val="00874A5F"/>
    <w:rsid w:val="00875D66"/>
    <w:rsid w:val="008772A0"/>
    <w:rsid w:val="00892BBE"/>
    <w:rsid w:val="00897F1F"/>
    <w:rsid w:val="008A2982"/>
    <w:rsid w:val="008A3D34"/>
    <w:rsid w:val="008A4519"/>
    <w:rsid w:val="008C1365"/>
    <w:rsid w:val="008C1748"/>
    <w:rsid w:val="008C31FC"/>
    <w:rsid w:val="008D6368"/>
    <w:rsid w:val="008D6A0A"/>
    <w:rsid w:val="008E11E0"/>
    <w:rsid w:val="008E314D"/>
    <w:rsid w:val="008E3554"/>
    <w:rsid w:val="008F0060"/>
    <w:rsid w:val="008F2775"/>
    <w:rsid w:val="008F51DB"/>
    <w:rsid w:val="008F75E2"/>
    <w:rsid w:val="008F7BFA"/>
    <w:rsid w:val="00901BEC"/>
    <w:rsid w:val="00915B33"/>
    <w:rsid w:val="00934D1B"/>
    <w:rsid w:val="00935897"/>
    <w:rsid w:val="00937DC8"/>
    <w:rsid w:val="00947C7E"/>
    <w:rsid w:val="009660E7"/>
    <w:rsid w:val="00972923"/>
    <w:rsid w:val="00981FC3"/>
    <w:rsid w:val="00993AD8"/>
    <w:rsid w:val="00994113"/>
    <w:rsid w:val="00994F5C"/>
    <w:rsid w:val="00995A37"/>
    <w:rsid w:val="009A468C"/>
    <w:rsid w:val="009B1BC0"/>
    <w:rsid w:val="009C1EA4"/>
    <w:rsid w:val="009C51FE"/>
    <w:rsid w:val="009C67B8"/>
    <w:rsid w:val="009D1CF7"/>
    <w:rsid w:val="009D41FB"/>
    <w:rsid w:val="009E4022"/>
    <w:rsid w:val="009E6619"/>
    <w:rsid w:val="009F292A"/>
    <w:rsid w:val="009F3699"/>
    <w:rsid w:val="009F5D1E"/>
    <w:rsid w:val="00A00F1A"/>
    <w:rsid w:val="00A23693"/>
    <w:rsid w:val="00A24F7B"/>
    <w:rsid w:val="00A332B5"/>
    <w:rsid w:val="00A4682B"/>
    <w:rsid w:val="00A47E24"/>
    <w:rsid w:val="00A47E6D"/>
    <w:rsid w:val="00A5050A"/>
    <w:rsid w:val="00A52A6E"/>
    <w:rsid w:val="00A55215"/>
    <w:rsid w:val="00A57E9C"/>
    <w:rsid w:val="00A630CB"/>
    <w:rsid w:val="00A716EC"/>
    <w:rsid w:val="00A723BE"/>
    <w:rsid w:val="00A75132"/>
    <w:rsid w:val="00A767D0"/>
    <w:rsid w:val="00A81763"/>
    <w:rsid w:val="00A957AC"/>
    <w:rsid w:val="00A96D02"/>
    <w:rsid w:val="00AA1C57"/>
    <w:rsid w:val="00AB0673"/>
    <w:rsid w:val="00AB21C8"/>
    <w:rsid w:val="00AD14F6"/>
    <w:rsid w:val="00AF0113"/>
    <w:rsid w:val="00B01666"/>
    <w:rsid w:val="00B06D98"/>
    <w:rsid w:val="00B21B38"/>
    <w:rsid w:val="00B31A43"/>
    <w:rsid w:val="00B338B1"/>
    <w:rsid w:val="00B37946"/>
    <w:rsid w:val="00B46678"/>
    <w:rsid w:val="00B5643F"/>
    <w:rsid w:val="00B60C64"/>
    <w:rsid w:val="00B62B33"/>
    <w:rsid w:val="00B62D5B"/>
    <w:rsid w:val="00B67CB1"/>
    <w:rsid w:val="00B7476C"/>
    <w:rsid w:val="00B75DB0"/>
    <w:rsid w:val="00B76018"/>
    <w:rsid w:val="00B92B81"/>
    <w:rsid w:val="00B9529F"/>
    <w:rsid w:val="00B96740"/>
    <w:rsid w:val="00BA0349"/>
    <w:rsid w:val="00BA4A78"/>
    <w:rsid w:val="00BB463A"/>
    <w:rsid w:val="00BB568C"/>
    <w:rsid w:val="00BE03F9"/>
    <w:rsid w:val="00BE2FDE"/>
    <w:rsid w:val="00BE3D98"/>
    <w:rsid w:val="00BE47E3"/>
    <w:rsid w:val="00BF37B5"/>
    <w:rsid w:val="00BF39AF"/>
    <w:rsid w:val="00BF5C15"/>
    <w:rsid w:val="00C05691"/>
    <w:rsid w:val="00C07AF3"/>
    <w:rsid w:val="00C14F59"/>
    <w:rsid w:val="00C1503D"/>
    <w:rsid w:val="00C43864"/>
    <w:rsid w:val="00C521E6"/>
    <w:rsid w:val="00C53730"/>
    <w:rsid w:val="00C57429"/>
    <w:rsid w:val="00C8204C"/>
    <w:rsid w:val="00C93383"/>
    <w:rsid w:val="00C93F0E"/>
    <w:rsid w:val="00C94DFB"/>
    <w:rsid w:val="00C95FD1"/>
    <w:rsid w:val="00CA7288"/>
    <w:rsid w:val="00CC1749"/>
    <w:rsid w:val="00CC2E02"/>
    <w:rsid w:val="00CC3A72"/>
    <w:rsid w:val="00CE0EF4"/>
    <w:rsid w:val="00CE1B5F"/>
    <w:rsid w:val="00D0097A"/>
    <w:rsid w:val="00D03BD1"/>
    <w:rsid w:val="00D05225"/>
    <w:rsid w:val="00D1133E"/>
    <w:rsid w:val="00D11FF1"/>
    <w:rsid w:val="00D27267"/>
    <w:rsid w:val="00D30642"/>
    <w:rsid w:val="00D32906"/>
    <w:rsid w:val="00D33BF8"/>
    <w:rsid w:val="00D359AA"/>
    <w:rsid w:val="00D373FB"/>
    <w:rsid w:val="00D41913"/>
    <w:rsid w:val="00D41A0E"/>
    <w:rsid w:val="00D43A4D"/>
    <w:rsid w:val="00D44EAD"/>
    <w:rsid w:val="00D46110"/>
    <w:rsid w:val="00D53E1C"/>
    <w:rsid w:val="00D624DF"/>
    <w:rsid w:val="00D7444A"/>
    <w:rsid w:val="00D82192"/>
    <w:rsid w:val="00D8561A"/>
    <w:rsid w:val="00D938E8"/>
    <w:rsid w:val="00D967D9"/>
    <w:rsid w:val="00DC16BA"/>
    <w:rsid w:val="00DD2B65"/>
    <w:rsid w:val="00DD6700"/>
    <w:rsid w:val="00DE1451"/>
    <w:rsid w:val="00DE4BFA"/>
    <w:rsid w:val="00DF1F6B"/>
    <w:rsid w:val="00E107AF"/>
    <w:rsid w:val="00E12939"/>
    <w:rsid w:val="00E208C3"/>
    <w:rsid w:val="00E27FAF"/>
    <w:rsid w:val="00E43BA1"/>
    <w:rsid w:val="00E51A7E"/>
    <w:rsid w:val="00E542E9"/>
    <w:rsid w:val="00E576A5"/>
    <w:rsid w:val="00E642D1"/>
    <w:rsid w:val="00E7164D"/>
    <w:rsid w:val="00E75FCE"/>
    <w:rsid w:val="00E83CF2"/>
    <w:rsid w:val="00E93D0D"/>
    <w:rsid w:val="00E945AE"/>
    <w:rsid w:val="00E94791"/>
    <w:rsid w:val="00EA43B9"/>
    <w:rsid w:val="00EA7162"/>
    <w:rsid w:val="00EB196B"/>
    <w:rsid w:val="00EB232E"/>
    <w:rsid w:val="00EC2460"/>
    <w:rsid w:val="00EC3F0B"/>
    <w:rsid w:val="00EC471E"/>
    <w:rsid w:val="00ED1F22"/>
    <w:rsid w:val="00ED4BFD"/>
    <w:rsid w:val="00ED50F7"/>
    <w:rsid w:val="00ED5DF7"/>
    <w:rsid w:val="00EE02F6"/>
    <w:rsid w:val="00EE34B1"/>
    <w:rsid w:val="00EE6708"/>
    <w:rsid w:val="00F02227"/>
    <w:rsid w:val="00F06D95"/>
    <w:rsid w:val="00F21101"/>
    <w:rsid w:val="00F43A66"/>
    <w:rsid w:val="00F628CD"/>
    <w:rsid w:val="00F64B33"/>
    <w:rsid w:val="00F74DD8"/>
    <w:rsid w:val="00F84266"/>
    <w:rsid w:val="00F9123E"/>
    <w:rsid w:val="00FA04F8"/>
    <w:rsid w:val="00FA2A78"/>
    <w:rsid w:val="00FA74C6"/>
    <w:rsid w:val="00FB4A65"/>
    <w:rsid w:val="00FD08D7"/>
    <w:rsid w:val="00FD149A"/>
    <w:rsid w:val="00FE7605"/>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DBA9"/>
  <w15:chartTrackingRefBased/>
  <w15:docId w15:val="{C8041196-142B-49B6-BBB9-DEAB171F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14D"/>
  </w:style>
  <w:style w:type="paragraph" w:styleId="Footer">
    <w:name w:val="footer"/>
    <w:basedOn w:val="Normal"/>
    <w:link w:val="FooterChar"/>
    <w:uiPriority w:val="99"/>
    <w:unhideWhenUsed/>
    <w:rsid w:val="008E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14D"/>
  </w:style>
  <w:style w:type="table" w:customStyle="1" w:styleId="TableGrid11">
    <w:name w:val="Table Grid11"/>
    <w:basedOn w:val="TableNormal"/>
    <w:next w:val="TableGrid"/>
    <w:uiPriority w:val="59"/>
    <w:rsid w:val="0038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3D98"/>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39"/>
    <w:rsid w:val="00BE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D67"/>
    <w:pPr>
      <w:ind w:left="720"/>
      <w:contextualSpacing/>
    </w:pPr>
  </w:style>
  <w:style w:type="paragraph" w:styleId="BalloonText">
    <w:name w:val="Balloon Text"/>
    <w:basedOn w:val="Normal"/>
    <w:link w:val="BalloonTextChar"/>
    <w:uiPriority w:val="99"/>
    <w:semiHidden/>
    <w:unhideWhenUsed/>
    <w:rsid w:val="001A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55"/>
    <w:rPr>
      <w:rFonts w:ascii="Segoe UI" w:hAnsi="Segoe UI" w:cs="Segoe UI"/>
      <w:sz w:val="18"/>
      <w:szCs w:val="18"/>
    </w:rPr>
  </w:style>
  <w:style w:type="character" w:styleId="CommentReference">
    <w:name w:val="annotation reference"/>
    <w:basedOn w:val="DefaultParagraphFont"/>
    <w:uiPriority w:val="99"/>
    <w:semiHidden/>
    <w:unhideWhenUsed/>
    <w:rsid w:val="00436107"/>
    <w:rPr>
      <w:sz w:val="16"/>
      <w:szCs w:val="16"/>
    </w:rPr>
  </w:style>
  <w:style w:type="paragraph" w:styleId="CommentText">
    <w:name w:val="annotation text"/>
    <w:basedOn w:val="Normal"/>
    <w:link w:val="CommentTextChar"/>
    <w:uiPriority w:val="99"/>
    <w:semiHidden/>
    <w:unhideWhenUsed/>
    <w:rsid w:val="00436107"/>
    <w:pPr>
      <w:spacing w:line="240" w:lineRule="auto"/>
    </w:pPr>
    <w:rPr>
      <w:sz w:val="20"/>
      <w:szCs w:val="20"/>
    </w:rPr>
  </w:style>
  <w:style w:type="character" w:customStyle="1" w:styleId="CommentTextChar">
    <w:name w:val="Comment Text Char"/>
    <w:basedOn w:val="DefaultParagraphFont"/>
    <w:link w:val="CommentText"/>
    <w:uiPriority w:val="99"/>
    <w:semiHidden/>
    <w:rsid w:val="00436107"/>
    <w:rPr>
      <w:sz w:val="20"/>
      <w:szCs w:val="20"/>
    </w:rPr>
  </w:style>
  <w:style w:type="paragraph" w:styleId="CommentSubject">
    <w:name w:val="annotation subject"/>
    <w:basedOn w:val="CommentText"/>
    <w:next w:val="CommentText"/>
    <w:link w:val="CommentSubjectChar"/>
    <w:uiPriority w:val="99"/>
    <w:semiHidden/>
    <w:unhideWhenUsed/>
    <w:rsid w:val="00436107"/>
    <w:rPr>
      <w:b/>
      <w:bCs/>
    </w:rPr>
  </w:style>
  <w:style w:type="character" w:customStyle="1" w:styleId="CommentSubjectChar">
    <w:name w:val="Comment Subject Char"/>
    <w:basedOn w:val="CommentTextChar"/>
    <w:link w:val="CommentSubject"/>
    <w:uiPriority w:val="99"/>
    <w:semiHidden/>
    <w:rsid w:val="00436107"/>
    <w:rPr>
      <w:b/>
      <w:bCs/>
      <w:sz w:val="20"/>
      <w:szCs w:val="20"/>
    </w:rPr>
  </w:style>
  <w:style w:type="paragraph" w:styleId="Subtitle">
    <w:name w:val="Subtitle"/>
    <w:basedOn w:val="Normal"/>
    <w:next w:val="Normal"/>
    <w:link w:val="SubtitleChar"/>
    <w:uiPriority w:val="11"/>
    <w:qFormat/>
    <w:rsid w:val="00D744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44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gets-my.sharepoint.com/personal/tiffany_shannon_dph_ga_gov/Documents/Desktop/Reports/Quarterly%20Reports/2022/Q4/Graphs/2022%20Quarterly%20Report%20Graphs_Q4.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gets-my.sharepoint.com/personal/tiffany_shannon_dph_ga_gov/Documents/Desktop/Reports/Quarterly%20Reports/2022/Q4/Graphs/2022%20Quarterly%20Report%20Graphs_Q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gets-my.sharepoint.com/personal/tiffany_shannon_dph_ga_gov/Documents/Desktop/Reports/Quarterly%20Reports/2022/Q4/Graphs/2022%20Quarterly%20Report%20Graphs_Q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gets-my.sharepoint.com/personal/tiffany_shannon_dph_ga_gov/Documents/Desktop/Reports/Quarterly%20Reports/2022/Q4/Graphs/2022%20Quarterly%20Report%20Graphs_Q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ysClr val="windowText" lastClr="000000"/>
                </a:solidFill>
                <a:latin typeface="Segoe UI" panose="020B0502040204020203" pitchFamily="34" charset="0"/>
                <a:ea typeface="+mn-ea"/>
                <a:cs typeface="Segoe UI" panose="020B0502040204020203" pitchFamily="34" charset="0"/>
              </a:defRPr>
            </a:pPr>
            <a:r>
              <a:rPr lang="en-US" sz="900" b="1"/>
              <a:t>Quarterly Drug-Involved Overdose Death Rates, by Drug Type, Georgia Residents, 2019-2022</a:t>
            </a: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autoTitleDeleted val="0"/>
    <c:plotArea>
      <c:layout>
        <c:manualLayout>
          <c:layoutTarget val="inner"/>
          <c:xMode val="edge"/>
          <c:yMode val="edge"/>
          <c:x val="0.11655596118728284"/>
          <c:y val="0.31717174612882126"/>
          <c:w val="0.83842233243976172"/>
          <c:h val="0.47901855107917335"/>
        </c:manualLayout>
      </c:layout>
      <c:lineChart>
        <c:grouping val="standard"/>
        <c:varyColors val="0"/>
        <c:ser>
          <c:idx val="0"/>
          <c:order val="0"/>
          <c:tx>
            <c:strRef>
              <c:f>Sheet1!$B$1</c:f>
              <c:strCache>
                <c:ptCount val="1"/>
                <c:pt idx="0">
                  <c:v>Any Opioid Deaths</c:v>
                </c:pt>
              </c:strCache>
            </c:strRef>
          </c:tx>
          <c:spPr>
            <a:ln w="28575" cap="rnd">
              <a:solidFill>
                <a:srgbClr val="ED1C28"/>
              </a:solidFill>
              <a:prstDash val="solid"/>
              <a:round/>
            </a:ln>
            <a:effectLst/>
          </c:spPr>
          <c:marker>
            <c:symbol val="none"/>
          </c:marker>
          <c:dPt>
            <c:idx val="10"/>
            <c:marker>
              <c:symbol val="none"/>
            </c:marker>
            <c:bubble3D val="0"/>
            <c:spPr>
              <a:ln w="28575" cap="rnd">
                <a:solidFill>
                  <a:srgbClr val="ED1C28"/>
                </a:solidFill>
                <a:prstDash val="solid"/>
                <a:round/>
              </a:ln>
              <a:effectLst/>
            </c:spPr>
            <c:extLst>
              <c:ext xmlns:c16="http://schemas.microsoft.com/office/drawing/2014/chart" uri="{C3380CC4-5D6E-409C-BE32-E72D297353CC}">
                <c16:uniqueId val="{00000001-E2A7-4CAF-AB88-5CE8A694FACC}"/>
              </c:ext>
            </c:extLst>
          </c:dPt>
          <c:dPt>
            <c:idx val="12"/>
            <c:marker>
              <c:symbol val="none"/>
            </c:marker>
            <c:bubble3D val="0"/>
            <c:spPr>
              <a:ln w="28575" cap="rnd">
                <a:solidFill>
                  <a:srgbClr val="ED1C28"/>
                </a:solidFill>
                <a:prstDash val="solid"/>
                <a:round/>
              </a:ln>
              <a:effectLst/>
            </c:spPr>
            <c:extLst>
              <c:ext xmlns:c16="http://schemas.microsoft.com/office/drawing/2014/chart" uri="{C3380CC4-5D6E-409C-BE32-E72D297353CC}">
                <c16:uniqueId val="{00000003-E2A7-4CAF-AB88-5CE8A694FACC}"/>
              </c:ext>
            </c:extLst>
          </c:dPt>
          <c:dPt>
            <c:idx val="13"/>
            <c:marker>
              <c:symbol val="none"/>
            </c:marker>
            <c:bubble3D val="0"/>
            <c:spPr>
              <a:ln w="28575" cap="rnd">
                <a:solidFill>
                  <a:srgbClr val="ED1C28"/>
                </a:solidFill>
                <a:prstDash val="solid"/>
                <a:round/>
              </a:ln>
              <a:effectLst/>
            </c:spPr>
            <c:extLst>
              <c:ext xmlns:c16="http://schemas.microsoft.com/office/drawing/2014/chart" uri="{C3380CC4-5D6E-409C-BE32-E72D297353CC}">
                <c16:uniqueId val="{00000005-E2A7-4CAF-AB88-5CE8A694FACC}"/>
              </c:ext>
            </c:extLst>
          </c:dPt>
          <c:dPt>
            <c:idx val="14"/>
            <c:marker>
              <c:symbol val="none"/>
            </c:marker>
            <c:bubble3D val="0"/>
            <c:spPr>
              <a:ln w="28575" cap="rnd">
                <a:solidFill>
                  <a:srgbClr val="ED1C28"/>
                </a:solidFill>
                <a:prstDash val="sysDash"/>
                <a:round/>
              </a:ln>
              <a:effectLst/>
            </c:spPr>
            <c:extLst>
              <c:ext xmlns:c16="http://schemas.microsoft.com/office/drawing/2014/chart" uri="{C3380CC4-5D6E-409C-BE32-E72D297353CC}">
                <c16:uniqueId val="{00000007-E2A7-4CAF-AB88-5CE8A694FACC}"/>
              </c:ext>
            </c:extLst>
          </c:dPt>
          <c:cat>
            <c:strRef>
              <c:f>Sheet1!$A$15:$A$29</c:f>
              <c:strCache>
                <c:ptCount val="15"/>
                <c:pt idx="0">
                  <c:v>2019 Q2</c:v>
                </c:pt>
                <c:pt idx="1">
                  <c:v>2019 Q3</c:v>
                </c:pt>
                <c:pt idx="2">
                  <c:v>2019 Q4</c:v>
                </c:pt>
                <c:pt idx="3">
                  <c:v>2020 Q1</c:v>
                </c:pt>
                <c:pt idx="4">
                  <c:v>2020 Q2</c:v>
                </c:pt>
                <c:pt idx="5">
                  <c:v>2020 Q3</c:v>
                </c:pt>
                <c:pt idx="6">
                  <c:v>2020 Q4</c:v>
                </c:pt>
                <c:pt idx="7">
                  <c:v>2021 Q1</c:v>
                </c:pt>
                <c:pt idx="8">
                  <c:v>2021 Q2</c:v>
                </c:pt>
                <c:pt idx="9">
                  <c:v>2021 Q3</c:v>
                </c:pt>
                <c:pt idx="10">
                  <c:v>2021 Q4</c:v>
                </c:pt>
                <c:pt idx="11">
                  <c:v>2022 Q1</c:v>
                </c:pt>
                <c:pt idx="12">
                  <c:v>2022 Q2</c:v>
                </c:pt>
                <c:pt idx="13">
                  <c:v>2022 Q3</c:v>
                </c:pt>
                <c:pt idx="14">
                  <c:v>2022 Q4</c:v>
                </c:pt>
              </c:strCache>
            </c:strRef>
          </c:cat>
          <c:val>
            <c:numRef>
              <c:f>Sheet1!$B$15:$B$29</c:f>
              <c:numCache>
                <c:formatCode>0.0</c:formatCode>
                <c:ptCount val="15"/>
                <c:pt idx="0">
                  <c:v>2.0958600000000001</c:v>
                </c:pt>
                <c:pt idx="1">
                  <c:v>2.00102</c:v>
                </c:pt>
                <c:pt idx="2">
                  <c:v>2.0918600000000001</c:v>
                </c:pt>
                <c:pt idx="3">
                  <c:v>2.2999999999999998</c:v>
                </c:pt>
                <c:pt idx="4">
                  <c:v>3.6</c:v>
                </c:pt>
                <c:pt idx="5">
                  <c:v>3.1</c:v>
                </c:pt>
                <c:pt idx="6">
                  <c:v>2.9</c:v>
                </c:pt>
                <c:pt idx="7">
                  <c:v>3.8</c:v>
                </c:pt>
                <c:pt idx="8">
                  <c:v>4.2</c:v>
                </c:pt>
                <c:pt idx="9">
                  <c:v>3.6</c:v>
                </c:pt>
                <c:pt idx="10">
                  <c:v>4</c:v>
                </c:pt>
                <c:pt idx="11">
                  <c:v>4.4000000000000004</c:v>
                </c:pt>
                <c:pt idx="12">
                  <c:v>4.5</c:v>
                </c:pt>
                <c:pt idx="13">
                  <c:v>4.7</c:v>
                </c:pt>
                <c:pt idx="14">
                  <c:v>3.7</c:v>
                </c:pt>
              </c:numCache>
            </c:numRef>
          </c:val>
          <c:smooth val="0"/>
          <c:extLst>
            <c:ext xmlns:c16="http://schemas.microsoft.com/office/drawing/2014/chart" uri="{C3380CC4-5D6E-409C-BE32-E72D297353CC}">
              <c16:uniqueId val="{00000008-E2A7-4CAF-AB88-5CE8A694FACC}"/>
            </c:ext>
          </c:extLst>
        </c:ser>
        <c:ser>
          <c:idx val="1"/>
          <c:order val="1"/>
          <c:tx>
            <c:strRef>
              <c:f>Sheet1!$C$1</c:f>
              <c:strCache>
                <c:ptCount val="1"/>
                <c:pt idx="0">
                  <c:v>Heroin Deaths</c:v>
                </c:pt>
              </c:strCache>
            </c:strRef>
          </c:tx>
          <c:spPr>
            <a:ln w="28575" cap="rnd">
              <a:solidFill>
                <a:srgbClr val="231F20"/>
              </a:solidFill>
              <a:prstDash val="solid"/>
              <a:round/>
            </a:ln>
            <a:effectLst/>
          </c:spPr>
          <c:marker>
            <c:symbol val="none"/>
          </c:marker>
          <c:dPt>
            <c:idx val="10"/>
            <c:marker>
              <c:symbol val="none"/>
            </c:marker>
            <c:bubble3D val="0"/>
            <c:spPr>
              <a:ln w="28575" cap="rnd">
                <a:solidFill>
                  <a:srgbClr val="231F20"/>
                </a:solidFill>
                <a:prstDash val="solid"/>
                <a:round/>
              </a:ln>
              <a:effectLst/>
            </c:spPr>
            <c:extLst>
              <c:ext xmlns:c16="http://schemas.microsoft.com/office/drawing/2014/chart" uri="{C3380CC4-5D6E-409C-BE32-E72D297353CC}">
                <c16:uniqueId val="{0000000A-E2A7-4CAF-AB88-5CE8A694FACC}"/>
              </c:ext>
            </c:extLst>
          </c:dPt>
          <c:dPt>
            <c:idx val="12"/>
            <c:marker>
              <c:symbol val="none"/>
            </c:marker>
            <c:bubble3D val="0"/>
            <c:spPr>
              <a:ln w="28575" cap="rnd">
                <a:solidFill>
                  <a:srgbClr val="231F20"/>
                </a:solidFill>
                <a:prstDash val="solid"/>
                <a:round/>
              </a:ln>
              <a:effectLst/>
            </c:spPr>
            <c:extLst>
              <c:ext xmlns:c16="http://schemas.microsoft.com/office/drawing/2014/chart" uri="{C3380CC4-5D6E-409C-BE32-E72D297353CC}">
                <c16:uniqueId val="{0000000C-E2A7-4CAF-AB88-5CE8A694FACC}"/>
              </c:ext>
            </c:extLst>
          </c:dPt>
          <c:dPt>
            <c:idx val="13"/>
            <c:marker>
              <c:symbol val="none"/>
            </c:marker>
            <c:bubble3D val="0"/>
            <c:spPr>
              <a:ln w="28575" cap="rnd">
                <a:solidFill>
                  <a:srgbClr val="231F20"/>
                </a:solidFill>
                <a:prstDash val="solid"/>
                <a:round/>
              </a:ln>
              <a:effectLst/>
            </c:spPr>
            <c:extLst>
              <c:ext xmlns:c16="http://schemas.microsoft.com/office/drawing/2014/chart" uri="{C3380CC4-5D6E-409C-BE32-E72D297353CC}">
                <c16:uniqueId val="{0000000E-E2A7-4CAF-AB88-5CE8A694FACC}"/>
              </c:ext>
            </c:extLst>
          </c:dPt>
          <c:dPt>
            <c:idx val="14"/>
            <c:marker>
              <c:symbol val="none"/>
            </c:marker>
            <c:bubble3D val="0"/>
            <c:spPr>
              <a:ln w="28575" cap="rnd">
                <a:solidFill>
                  <a:srgbClr val="231F20"/>
                </a:solidFill>
                <a:prstDash val="sysDash"/>
                <a:round/>
              </a:ln>
              <a:effectLst/>
            </c:spPr>
            <c:extLst>
              <c:ext xmlns:c16="http://schemas.microsoft.com/office/drawing/2014/chart" uri="{C3380CC4-5D6E-409C-BE32-E72D297353CC}">
                <c16:uniqueId val="{00000010-E2A7-4CAF-AB88-5CE8A694FACC}"/>
              </c:ext>
            </c:extLst>
          </c:dPt>
          <c:cat>
            <c:strRef>
              <c:f>Sheet1!$A$15:$A$29</c:f>
              <c:strCache>
                <c:ptCount val="15"/>
                <c:pt idx="0">
                  <c:v>2019 Q2</c:v>
                </c:pt>
                <c:pt idx="1">
                  <c:v>2019 Q3</c:v>
                </c:pt>
                <c:pt idx="2">
                  <c:v>2019 Q4</c:v>
                </c:pt>
                <c:pt idx="3">
                  <c:v>2020 Q1</c:v>
                </c:pt>
                <c:pt idx="4">
                  <c:v>2020 Q2</c:v>
                </c:pt>
                <c:pt idx="5">
                  <c:v>2020 Q3</c:v>
                </c:pt>
                <c:pt idx="6">
                  <c:v>2020 Q4</c:v>
                </c:pt>
                <c:pt idx="7">
                  <c:v>2021 Q1</c:v>
                </c:pt>
                <c:pt idx="8">
                  <c:v>2021 Q2</c:v>
                </c:pt>
                <c:pt idx="9">
                  <c:v>2021 Q3</c:v>
                </c:pt>
                <c:pt idx="10">
                  <c:v>2021 Q4</c:v>
                </c:pt>
                <c:pt idx="11">
                  <c:v>2022 Q1</c:v>
                </c:pt>
                <c:pt idx="12">
                  <c:v>2022 Q2</c:v>
                </c:pt>
                <c:pt idx="13">
                  <c:v>2022 Q3</c:v>
                </c:pt>
                <c:pt idx="14">
                  <c:v>2022 Q4</c:v>
                </c:pt>
              </c:strCache>
            </c:strRef>
          </c:cat>
          <c:val>
            <c:numRef>
              <c:f>Sheet1!$C$15:$C$29</c:f>
              <c:numCache>
                <c:formatCode>0.0</c:formatCode>
                <c:ptCount val="15"/>
                <c:pt idx="0">
                  <c:v>0.80998999999999999</c:v>
                </c:pt>
                <c:pt idx="1">
                  <c:v>0.77859999999999996</c:v>
                </c:pt>
                <c:pt idx="2">
                  <c:v>0.77951000000000004</c:v>
                </c:pt>
                <c:pt idx="3">
                  <c:v>0.8</c:v>
                </c:pt>
                <c:pt idx="4">
                  <c:v>1.3</c:v>
                </c:pt>
                <c:pt idx="5">
                  <c:v>1</c:v>
                </c:pt>
                <c:pt idx="6">
                  <c:v>0.8</c:v>
                </c:pt>
                <c:pt idx="7">
                  <c:v>0.8</c:v>
                </c:pt>
                <c:pt idx="8">
                  <c:v>0.8</c:v>
                </c:pt>
                <c:pt idx="9">
                  <c:v>0.67</c:v>
                </c:pt>
                <c:pt idx="10">
                  <c:v>0.7</c:v>
                </c:pt>
                <c:pt idx="11">
                  <c:v>0.6</c:v>
                </c:pt>
                <c:pt idx="12">
                  <c:v>0.5</c:v>
                </c:pt>
                <c:pt idx="13">
                  <c:v>0.3</c:v>
                </c:pt>
                <c:pt idx="14">
                  <c:v>0.2</c:v>
                </c:pt>
              </c:numCache>
            </c:numRef>
          </c:val>
          <c:smooth val="0"/>
          <c:extLst xmlns:c15="http://schemas.microsoft.com/office/drawing/2012/chart">
            <c:ext xmlns:c16="http://schemas.microsoft.com/office/drawing/2014/chart" uri="{C3380CC4-5D6E-409C-BE32-E72D297353CC}">
              <c16:uniqueId val="{00000011-E2A7-4CAF-AB88-5CE8A694FACC}"/>
            </c:ext>
          </c:extLst>
        </c:ser>
        <c:ser>
          <c:idx val="4"/>
          <c:order val="2"/>
          <c:tx>
            <c:strRef>
              <c:f>Sheet1!$D$1</c:f>
              <c:strCache>
                <c:ptCount val="1"/>
                <c:pt idx="0">
                  <c:v>Fentanyl Deaths</c:v>
                </c:pt>
              </c:strCache>
            </c:strRef>
          </c:tx>
          <c:spPr>
            <a:ln w="28575" cap="rnd" cmpd="sng">
              <a:solidFill>
                <a:srgbClr val="A5A5A5"/>
              </a:solidFill>
              <a:prstDash val="solid"/>
              <a:round/>
            </a:ln>
            <a:effectLst/>
          </c:spPr>
          <c:marker>
            <c:symbol val="none"/>
          </c:marker>
          <c:dPt>
            <c:idx val="10"/>
            <c:marker>
              <c:symbol val="none"/>
            </c:marker>
            <c:bubble3D val="0"/>
            <c:spPr>
              <a:ln w="28575" cap="rnd" cmpd="sng">
                <a:solidFill>
                  <a:srgbClr val="A5A5A5"/>
                </a:solidFill>
                <a:prstDash val="solid"/>
                <a:round/>
              </a:ln>
              <a:effectLst/>
            </c:spPr>
            <c:extLst>
              <c:ext xmlns:c16="http://schemas.microsoft.com/office/drawing/2014/chart" uri="{C3380CC4-5D6E-409C-BE32-E72D297353CC}">
                <c16:uniqueId val="{00000013-E2A7-4CAF-AB88-5CE8A694FACC}"/>
              </c:ext>
            </c:extLst>
          </c:dPt>
          <c:dPt>
            <c:idx val="12"/>
            <c:marker>
              <c:symbol val="none"/>
            </c:marker>
            <c:bubble3D val="0"/>
            <c:spPr>
              <a:ln w="28575" cap="rnd" cmpd="sng">
                <a:solidFill>
                  <a:srgbClr val="A5A5A5"/>
                </a:solidFill>
                <a:prstDash val="solid"/>
                <a:round/>
              </a:ln>
              <a:effectLst/>
            </c:spPr>
            <c:extLst>
              <c:ext xmlns:c16="http://schemas.microsoft.com/office/drawing/2014/chart" uri="{C3380CC4-5D6E-409C-BE32-E72D297353CC}">
                <c16:uniqueId val="{00000015-E2A7-4CAF-AB88-5CE8A694FACC}"/>
              </c:ext>
            </c:extLst>
          </c:dPt>
          <c:dPt>
            <c:idx val="13"/>
            <c:marker>
              <c:symbol val="none"/>
            </c:marker>
            <c:bubble3D val="0"/>
            <c:spPr>
              <a:ln w="28575" cap="rnd" cmpd="sng">
                <a:solidFill>
                  <a:srgbClr val="A5A5A5"/>
                </a:solidFill>
                <a:prstDash val="solid"/>
                <a:round/>
              </a:ln>
              <a:effectLst/>
            </c:spPr>
            <c:extLst>
              <c:ext xmlns:c16="http://schemas.microsoft.com/office/drawing/2014/chart" uri="{C3380CC4-5D6E-409C-BE32-E72D297353CC}">
                <c16:uniqueId val="{00000017-E2A7-4CAF-AB88-5CE8A694FACC}"/>
              </c:ext>
            </c:extLst>
          </c:dPt>
          <c:dPt>
            <c:idx val="14"/>
            <c:marker>
              <c:symbol val="none"/>
            </c:marker>
            <c:bubble3D val="0"/>
            <c:spPr>
              <a:ln w="28575" cap="rnd" cmpd="sng">
                <a:solidFill>
                  <a:srgbClr val="A5A5A5"/>
                </a:solidFill>
                <a:prstDash val="sysDash"/>
                <a:round/>
              </a:ln>
              <a:effectLst/>
            </c:spPr>
            <c:extLst>
              <c:ext xmlns:c16="http://schemas.microsoft.com/office/drawing/2014/chart" uri="{C3380CC4-5D6E-409C-BE32-E72D297353CC}">
                <c16:uniqueId val="{00000019-E2A7-4CAF-AB88-5CE8A694FACC}"/>
              </c:ext>
            </c:extLst>
          </c:dPt>
          <c:cat>
            <c:strRef>
              <c:f>Sheet1!$A$15:$A$29</c:f>
              <c:strCache>
                <c:ptCount val="15"/>
                <c:pt idx="0">
                  <c:v>2019 Q2</c:v>
                </c:pt>
                <c:pt idx="1">
                  <c:v>2019 Q3</c:v>
                </c:pt>
                <c:pt idx="2">
                  <c:v>2019 Q4</c:v>
                </c:pt>
                <c:pt idx="3">
                  <c:v>2020 Q1</c:v>
                </c:pt>
                <c:pt idx="4">
                  <c:v>2020 Q2</c:v>
                </c:pt>
                <c:pt idx="5">
                  <c:v>2020 Q3</c:v>
                </c:pt>
                <c:pt idx="6">
                  <c:v>2020 Q4</c:v>
                </c:pt>
                <c:pt idx="7">
                  <c:v>2021 Q1</c:v>
                </c:pt>
                <c:pt idx="8">
                  <c:v>2021 Q2</c:v>
                </c:pt>
                <c:pt idx="9">
                  <c:v>2021 Q3</c:v>
                </c:pt>
                <c:pt idx="10">
                  <c:v>2021 Q4</c:v>
                </c:pt>
                <c:pt idx="11">
                  <c:v>2022 Q1</c:v>
                </c:pt>
                <c:pt idx="12">
                  <c:v>2022 Q2</c:v>
                </c:pt>
                <c:pt idx="13">
                  <c:v>2022 Q3</c:v>
                </c:pt>
                <c:pt idx="14">
                  <c:v>2022 Q4</c:v>
                </c:pt>
              </c:strCache>
            </c:strRef>
          </c:cat>
          <c:val>
            <c:numRef>
              <c:f>Sheet1!$D$15:$D$29</c:f>
              <c:numCache>
                <c:formatCode>General</c:formatCode>
                <c:ptCount val="15"/>
                <c:pt idx="0">
                  <c:v>0.9</c:v>
                </c:pt>
                <c:pt idx="1">
                  <c:v>0.9</c:v>
                </c:pt>
                <c:pt idx="2">
                  <c:v>1.1000000000000001</c:v>
                </c:pt>
                <c:pt idx="3">
                  <c:v>1.2</c:v>
                </c:pt>
                <c:pt idx="4">
                  <c:v>2.4</c:v>
                </c:pt>
                <c:pt idx="5" formatCode="0.0">
                  <c:v>2.4</c:v>
                </c:pt>
                <c:pt idx="6" formatCode="0.0">
                  <c:v>2</c:v>
                </c:pt>
                <c:pt idx="7" formatCode="0.0">
                  <c:v>2.8</c:v>
                </c:pt>
                <c:pt idx="8" formatCode="0.0">
                  <c:v>3.3</c:v>
                </c:pt>
                <c:pt idx="9" formatCode="0.0">
                  <c:v>2.8</c:v>
                </c:pt>
                <c:pt idx="10" formatCode="0.0">
                  <c:v>3.2</c:v>
                </c:pt>
                <c:pt idx="11" formatCode="0.0">
                  <c:v>3.6</c:v>
                </c:pt>
                <c:pt idx="12" formatCode="0.0">
                  <c:v>3.9</c:v>
                </c:pt>
                <c:pt idx="13" formatCode="0.0">
                  <c:v>4</c:v>
                </c:pt>
                <c:pt idx="14" formatCode="0.0">
                  <c:v>3.2</c:v>
                </c:pt>
              </c:numCache>
            </c:numRef>
          </c:val>
          <c:smooth val="0"/>
          <c:extLst>
            <c:ext xmlns:c16="http://schemas.microsoft.com/office/drawing/2014/chart" uri="{C3380CC4-5D6E-409C-BE32-E72D297353CC}">
              <c16:uniqueId val="{0000001A-E2A7-4CAF-AB88-5CE8A694FACC}"/>
            </c:ext>
          </c:extLst>
        </c:ser>
        <c:ser>
          <c:idx val="2"/>
          <c:order val="3"/>
          <c:tx>
            <c:strRef>
              <c:f>Sheet1!$E$1</c:f>
              <c:strCache>
                <c:ptCount val="1"/>
                <c:pt idx="0">
                  <c:v>Any Opioid Deaths Forecast</c:v>
                </c:pt>
              </c:strCache>
            </c:strRef>
          </c:tx>
          <c:spPr>
            <a:ln w="28575" cap="rnd">
              <a:solidFill>
                <a:schemeClr val="accent3"/>
              </a:solidFill>
              <a:round/>
            </a:ln>
            <a:effectLst/>
          </c:spPr>
          <c:marker>
            <c:symbol val="none"/>
          </c:marker>
          <c:cat>
            <c:strRef>
              <c:f>Sheet1!$A$15:$A$29</c:f>
              <c:strCache>
                <c:ptCount val="15"/>
                <c:pt idx="0">
                  <c:v>2019 Q2</c:v>
                </c:pt>
                <c:pt idx="1">
                  <c:v>2019 Q3</c:v>
                </c:pt>
                <c:pt idx="2">
                  <c:v>2019 Q4</c:v>
                </c:pt>
                <c:pt idx="3">
                  <c:v>2020 Q1</c:v>
                </c:pt>
                <c:pt idx="4">
                  <c:v>2020 Q2</c:v>
                </c:pt>
                <c:pt idx="5">
                  <c:v>2020 Q3</c:v>
                </c:pt>
                <c:pt idx="6">
                  <c:v>2020 Q4</c:v>
                </c:pt>
                <c:pt idx="7">
                  <c:v>2021 Q1</c:v>
                </c:pt>
                <c:pt idx="8">
                  <c:v>2021 Q2</c:v>
                </c:pt>
                <c:pt idx="9">
                  <c:v>2021 Q3</c:v>
                </c:pt>
                <c:pt idx="10">
                  <c:v>2021 Q4</c:v>
                </c:pt>
                <c:pt idx="11">
                  <c:v>2022 Q1</c:v>
                </c:pt>
                <c:pt idx="12">
                  <c:v>2022 Q2</c:v>
                </c:pt>
                <c:pt idx="13">
                  <c:v>2022 Q3</c:v>
                </c:pt>
                <c:pt idx="14">
                  <c:v>2022 Q4</c:v>
                </c:pt>
              </c:strCache>
            </c:strRef>
          </c:cat>
          <c:val>
            <c:numRef>
              <c:f>Sheet1!$E$12:$E$25</c:f>
              <c:numCache>
                <c:formatCode>General</c:formatCode>
                <c:ptCount val="14"/>
              </c:numCache>
            </c:numRef>
          </c:val>
          <c:smooth val="0"/>
          <c:extLst>
            <c:ext xmlns:c16="http://schemas.microsoft.com/office/drawing/2014/chart" uri="{C3380CC4-5D6E-409C-BE32-E72D297353CC}">
              <c16:uniqueId val="{0000001B-E2A7-4CAF-AB88-5CE8A694FACC}"/>
            </c:ext>
          </c:extLst>
        </c:ser>
        <c:ser>
          <c:idx val="3"/>
          <c:order val="4"/>
          <c:tx>
            <c:strRef>
              <c:f>Sheet1!$F$1</c:f>
              <c:strCache>
                <c:ptCount val="1"/>
                <c:pt idx="0">
                  <c:v>Heroin Deaths Forecast</c:v>
                </c:pt>
              </c:strCache>
            </c:strRef>
          </c:tx>
          <c:spPr>
            <a:ln w="28575" cap="rnd">
              <a:solidFill>
                <a:schemeClr val="accent4"/>
              </a:solidFill>
              <a:round/>
            </a:ln>
            <a:effectLst/>
          </c:spPr>
          <c:marker>
            <c:symbol val="none"/>
          </c:marker>
          <c:cat>
            <c:strRef>
              <c:f>Sheet1!$A$15:$A$29</c:f>
              <c:strCache>
                <c:ptCount val="15"/>
                <c:pt idx="0">
                  <c:v>2019 Q2</c:v>
                </c:pt>
                <c:pt idx="1">
                  <c:v>2019 Q3</c:v>
                </c:pt>
                <c:pt idx="2">
                  <c:v>2019 Q4</c:v>
                </c:pt>
                <c:pt idx="3">
                  <c:v>2020 Q1</c:v>
                </c:pt>
                <c:pt idx="4">
                  <c:v>2020 Q2</c:v>
                </c:pt>
                <c:pt idx="5">
                  <c:v>2020 Q3</c:v>
                </c:pt>
                <c:pt idx="6">
                  <c:v>2020 Q4</c:v>
                </c:pt>
                <c:pt idx="7">
                  <c:v>2021 Q1</c:v>
                </c:pt>
                <c:pt idx="8">
                  <c:v>2021 Q2</c:v>
                </c:pt>
                <c:pt idx="9">
                  <c:v>2021 Q3</c:v>
                </c:pt>
                <c:pt idx="10">
                  <c:v>2021 Q4</c:v>
                </c:pt>
                <c:pt idx="11">
                  <c:v>2022 Q1</c:v>
                </c:pt>
                <c:pt idx="12">
                  <c:v>2022 Q2</c:v>
                </c:pt>
                <c:pt idx="13">
                  <c:v>2022 Q3</c:v>
                </c:pt>
                <c:pt idx="14">
                  <c:v>2022 Q4</c:v>
                </c:pt>
              </c:strCache>
            </c:strRef>
          </c:cat>
          <c:val>
            <c:numRef>
              <c:f>Sheet1!$F$12:$F$25</c:f>
              <c:numCache>
                <c:formatCode>General</c:formatCode>
                <c:ptCount val="14"/>
              </c:numCache>
            </c:numRef>
          </c:val>
          <c:smooth val="0"/>
          <c:extLst>
            <c:ext xmlns:c16="http://schemas.microsoft.com/office/drawing/2014/chart" uri="{C3380CC4-5D6E-409C-BE32-E72D297353CC}">
              <c16:uniqueId val="{0000001C-E2A7-4CAF-AB88-5CE8A694FACC}"/>
            </c:ext>
          </c:extLst>
        </c:ser>
        <c:ser>
          <c:idx val="5"/>
          <c:order val="5"/>
          <c:tx>
            <c:strRef>
              <c:f>Sheet1!$G$1</c:f>
              <c:strCache>
                <c:ptCount val="1"/>
                <c:pt idx="0">
                  <c:v>Fentanyl Death Forcast</c:v>
                </c:pt>
              </c:strCache>
            </c:strRef>
          </c:tx>
          <c:spPr>
            <a:ln w="28575" cap="rnd">
              <a:solidFill>
                <a:schemeClr val="accent6"/>
              </a:solidFill>
              <a:round/>
            </a:ln>
            <a:effectLst/>
          </c:spPr>
          <c:marker>
            <c:symbol val="none"/>
          </c:marker>
          <c:cat>
            <c:strRef>
              <c:f>Sheet1!$A$15:$A$29</c:f>
              <c:strCache>
                <c:ptCount val="15"/>
                <c:pt idx="0">
                  <c:v>2019 Q2</c:v>
                </c:pt>
                <c:pt idx="1">
                  <c:v>2019 Q3</c:v>
                </c:pt>
                <c:pt idx="2">
                  <c:v>2019 Q4</c:v>
                </c:pt>
                <c:pt idx="3">
                  <c:v>2020 Q1</c:v>
                </c:pt>
                <c:pt idx="4">
                  <c:v>2020 Q2</c:v>
                </c:pt>
                <c:pt idx="5">
                  <c:v>2020 Q3</c:v>
                </c:pt>
                <c:pt idx="6">
                  <c:v>2020 Q4</c:v>
                </c:pt>
                <c:pt idx="7">
                  <c:v>2021 Q1</c:v>
                </c:pt>
                <c:pt idx="8">
                  <c:v>2021 Q2</c:v>
                </c:pt>
                <c:pt idx="9">
                  <c:v>2021 Q3</c:v>
                </c:pt>
                <c:pt idx="10">
                  <c:v>2021 Q4</c:v>
                </c:pt>
                <c:pt idx="11">
                  <c:v>2022 Q1</c:v>
                </c:pt>
                <c:pt idx="12">
                  <c:v>2022 Q2</c:v>
                </c:pt>
                <c:pt idx="13">
                  <c:v>2022 Q3</c:v>
                </c:pt>
                <c:pt idx="14">
                  <c:v>2022 Q4</c:v>
                </c:pt>
              </c:strCache>
            </c:strRef>
          </c:cat>
          <c:val>
            <c:numRef>
              <c:f>Sheet1!$G$24</c:f>
              <c:numCache>
                <c:formatCode>0.0</c:formatCode>
                <c:ptCount val="1"/>
              </c:numCache>
            </c:numRef>
          </c:val>
          <c:smooth val="0"/>
          <c:extLst>
            <c:ext xmlns:c16="http://schemas.microsoft.com/office/drawing/2014/chart" uri="{C3380CC4-5D6E-409C-BE32-E72D297353CC}">
              <c16:uniqueId val="{0000001D-E2A7-4CAF-AB88-5CE8A694FACC}"/>
            </c:ext>
          </c:extLst>
        </c:ser>
        <c:dLbls>
          <c:showLegendKey val="0"/>
          <c:showVal val="0"/>
          <c:showCatName val="0"/>
          <c:showSerName val="0"/>
          <c:showPercent val="0"/>
          <c:showBubbleSize val="0"/>
        </c:dLbls>
        <c:smooth val="0"/>
        <c:axId val="978676656"/>
        <c:axId val="726061688"/>
        <c:extLst/>
      </c:lineChart>
      <c:catAx>
        <c:axId val="9786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726061688"/>
        <c:crosses val="autoZero"/>
        <c:auto val="1"/>
        <c:lblAlgn val="ctr"/>
        <c:lblOffset val="100"/>
        <c:noMultiLvlLbl val="0"/>
      </c:catAx>
      <c:valAx>
        <c:axId val="726061688"/>
        <c:scaling>
          <c:orientation val="minMax"/>
        </c:scaling>
        <c:delete val="0"/>
        <c:axPos val="l"/>
        <c:title>
          <c:tx>
            <c:rich>
              <a:bodyPr rot="-5400000" spcFirstLastPara="1" vertOverflow="ellipsis" vert="horz" wrap="square" anchor="ctr" anchorCtr="1"/>
              <a:lstStyle/>
              <a:p>
                <a:pPr algn="ctr" rtl="0">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r>
                  <a:rPr lang="en-US"/>
                  <a:t>Deaths/ 100,000 pop</a:t>
                </a:r>
              </a:p>
            </c:rich>
          </c:tx>
          <c:layout>
            <c:manualLayout>
              <c:xMode val="edge"/>
              <c:yMode val="edge"/>
              <c:x val="2.5830878702888756E-2"/>
              <c:y val="0.30368738798426897"/>
            </c:manualLayout>
          </c:layout>
          <c:overlay val="0"/>
          <c:spPr>
            <a:noFill/>
            <a:ln>
              <a:noFill/>
            </a:ln>
            <a:effectLst/>
          </c:spPr>
          <c:txPr>
            <a:bodyPr rot="-5400000" spcFirstLastPara="1" vertOverflow="ellipsis" vert="horz" wrap="square" anchor="ctr" anchorCtr="1"/>
            <a:lstStyle/>
            <a:p>
              <a:pPr algn="ctr" rtl="0">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978676656"/>
        <c:crosses val="autoZero"/>
        <c:crossBetween val="between"/>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19341407844852726"/>
          <c:y val="0.21050682618161101"/>
          <c:w val="0.65149339248079019"/>
          <c:h val="0.1600694856623124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Segoe UI" panose="020B0502040204020203" pitchFamily="34" charset="0"/>
          <a:cs typeface="Segoe UI" panose="020B0502040204020203"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1" i="0" u="none" strike="noStrike" kern="1200" spc="0" baseline="0">
                <a:solidFill>
                  <a:sysClr val="windowText" lastClr="000000">
                    <a:lumMod val="65000"/>
                    <a:lumOff val="35000"/>
                  </a:sysClr>
                </a:solidFill>
                <a:latin typeface="+mn-lt"/>
                <a:ea typeface="+mn-ea"/>
                <a:cs typeface="+mn-cs"/>
              </a:defRPr>
            </a:pPr>
            <a:r>
              <a:rPr lang="en-US" sz="1050" b="1" i="0" baseline="0">
                <a:solidFill>
                  <a:sysClr val="windowText" lastClr="000000"/>
                </a:solidFill>
                <a:effectLst/>
              </a:rPr>
              <a:t>Quarterly Drug-Involved Overdose Deaths, by Drug Type, Georgia Residents, 2022 Q1-2022 Q4</a:t>
            </a:r>
            <a:endParaRPr lang="en-US" sz="1050" b="1">
              <a:solidFill>
                <a:sysClr val="windowText" lastClr="000000"/>
              </a:solidFill>
              <a:effectLst/>
            </a:endParaRPr>
          </a:p>
        </c:rich>
      </c:tx>
      <c:layout>
        <c:manualLayout>
          <c:xMode val="edge"/>
          <c:yMode val="edge"/>
          <c:x val="0.11161527921202444"/>
          <c:y val="2.723170240586045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3809294246382467"/>
          <c:y val="0.3577901063337956"/>
          <c:w val="0.83136422815952671"/>
          <c:h val="0.42927219049075177"/>
        </c:manualLayout>
      </c:layout>
      <c:barChart>
        <c:barDir val="col"/>
        <c:grouping val="clustered"/>
        <c:varyColors val="0"/>
        <c:ser>
          <c:idx val="0"/>
          <c:order val="0"/>
          <c:tx>
            <c:strRef>
              <c:f>Sheet1!$B$40</c:f>
              <c:strCache>
                <c:ptCount val="1"/>
                <c:pt idx="0">
                  <c:v>Any Opioid</c:v>
                </c:pt>
              </c:strCache>
            </c:strRef>
          </c:tx>
          <c:spPr>
            <a:solidFill>
              <a:srgbClr val="ED1C28"/>
            </a:solidFill>
            <a:ln>
              <a:noFill/>
            </a:ln>
            <a:effectLst/>
          </c:spPr>
          <c:invertIfNegative val="0"/>
          <c:dPt>
            <c:idx val="0"/>
            <c:invertIfNegative val="0"/>
            <c:bubble3D val="0"/>
            <c:spPr>
              <a:solidFill>
                <a:srgbClr val="ED1C28"/>
              </a:solidFill>
              <a:ln>
                <a:noFill/>
              </a:ln>
              <a:effectLst/>
            </c:spPr>
            <c:extLst>
              <c:ext xmlns:c16="http://schemas.microsoft.com/office/drawing/2014/chart" uri="{C3380CC4-5D6E-409C-BE32-E72D297353CC}">
                <c16:uniqueId val="{00000001-8BF4-418F-A2FF-598BE7D5254F}"/>
              </c:ext>
            </c:extLst>
          </c:dPt>
          <c:dPt>
            <c:idx val="1"/>
            <c:invertIfNegative val="0"/>
            <c:bubble3D val="0"/>
            <c:spPr>
              <a:solidFill>
                <a:srgbClr val="ED1C28"/>
              </a:solidFill>
              <a:ln>
                <a:noFill/>
              </a:ln>
              <a:effectLst/>
            </c:spPr>
            <c:extLst>
              <c:ext xmlns:c16="http://schemas.microsoft.com/office/drawing/2014/chart" uri="{C3380CC4-5D6E-409C-BE32-E72D297353CC}">
                <c16:uniqueId val="{00000003-8BF4-418F-A2FF-598BE7D5254F}"/>
              </c:ext>
            </c:extLst>
          </c:dPt>
          <c:dPt>
            <c:idx val="2"/>
            <c:invertIfNegative val="0"/>
            <c:bubble3D val="0"/>
            <c:spPr>
              <a:solidFill>
                <a:srgbClr val="ED1C28"/>
              </a:solidFill>
              <a:ln>
                <a:noFill/>
              </a:ln>
              <a:effectLst/>
            </c:spPr>
            <c:extLst>
              <c:ext xmlns:c16="http://schemas.microsoft.com/office/drawing/2014/chart" uri="{C3380CC4-5D6E-409C-BE32-E72D297353CC}">
                <c16:uniqueId val="{00000005-8BF4-418F-A2FF-598BE7D5254F}"/>
              </c:ext>
            </c:extLst>
          </c:dPt>
          <c:dPt>
            <c:idx val="3"/>
            <c:invertIfNegative val="0"/>
            <c:bubble3D val="0"/>
            <c:spPr>
              <a:pattFill prst="dkHorz">
                <a:fgClr>
                  <a:srgbClr val="ED1C28"/>
                </a:fgClr>
                <a:bgClr>
                  <a:schemeClr val="bg1"/>
                </a:bgClr>
              </a:pattFill>
              <a:ln>
                <a:noFill/>
              </a:ln>
              <a:effectLst/>
            </c:spPr>
            <c:extLst>
              <c:ext xmlns:c16="http://schemas.microsoft.com/office/drawing/2014/chart" uri="{C3380CC4-5D6E-409C-BE32-E72D297353CC}">
                <c16:uniqueId val="{00000007-8BF4-418F-A2FF-598BE7D525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Sheet1!$A$50:$A$53</c:f>
              <c:strCache>
                <c:ptCount val="4"/>
                <c:pt idx="0">
                  <c:v>2022 Q1</c:v>
                </c:pt>
                <c:pt idx="1">
                  <c:v>2022 Q2</c:v>
                </c:pt>
                <c:pt idx="2">
                  <c:v>2022 Q3</c:v>
                </c:pt>
                <c:pt idx="3">
                  <c:v>2022 Q4</c:v>
                </c:pt>
              </c:strCache>
            </c:strRef>
          </c:cat>
          <c:val>
            <c:numRef>
              <c:f>Sheet1!$B$50:$B$53</c:f>
              <c:numCache>
                <c:formatCode>General</c:formatCode>
                <c:ptCount val="4"/>
                <c:pt idx="0">
                  <c:v>454</c:v>
                </c:pt>
                <c:pt idx="1">
                  <c:v>474</c:v>
                </c:pt>
                <c:pt idx="2">
                  <c:v>478</c:v>
                </c:pt>
                <c:pt idx="3">
                  <c:v>385</c:v>
                </c:pt>
              </c:numCache>
            </c:numRef>
          </c:val>
          <c:extLst>
            <c:ext xmlns:c16="http://schemas.microsoft.com/office/drawing/2014/chart" uri="{C3380CC4-5D6E-409C-BE32-E72D297353CC}">
              <c16:uniqueId val="{00000008-8BF4-418F-A2FF-598BE7D5254F}"/>
            </c:ext>
          </c:extLst>
        </c:ser>
        <c:ser>
          <c:idx val="1"/>
          <c:order val="1"/>
          <c:tx>
            <c:strRef>
              <c:f>Sheet1!$C$40</c:f>
              <c:strCache>
                <c:ptCount val="1"/>
                <c:pt idx="0">
                  <c:v>Fentanyl</c:v>
                </c:pt>
              </c:strCache>
            </c:strRef>
          </c:tx>
          <c:spPr>
            <a:solidFill>
              <a:srgbClr val="A5A5A5"/>
            </a:solidFill>
            <a:ln>
              <a:noFill/>
            </a:ln>
            <a:effectLst/>
          </c:spPr>
          <c:invertIfNegative val="0"/>
          <c:dPt>
            <c:idx val="0"/>
            <c:invertIfNegative val="0"/>
            <c:bubble3D val="0"/>
            <c:spPr>
              <a:solidFill>
                <a:srgbClr val="A5A5A5"/>
              </a:solidFill>
              <a:ln>
                <a:noFill/>
              </a:ln>
              <a:effectLst/>
            </c:spPr>
            <c:extLst>
              <c:ext xmlns:c16="http://schemas.microsoft.com/office/drawing/2014/chart" uri="{C3380CC4-5D6E-409C-BE32-E72D297353CC}">
                <c16:uniqueId val="{0000000A-8BF4-418F-A2FF-598BE7D5254F}"/>
              </c:ext>
            </c:extLst>
          </c:dPt>
          <c:dPt>
            <c:idx val="1"/>
            <c:invertIfNegative val="0"/>
            <c:bubble3D val="0"/>
            <c:spPr>
              <a:solidFill>
                <a:srgbClr val="A5A5A5"/>
              </a:solidFill>
              <a:ln>
                <a:noFill/>
              </a:ln>
              <a:effectLst/>
            </c:spPr>
            <c:extLst>
              <c:ext xmlns:c16="http://schemas.microsoft.com/office/drawing/2014/chart" uri="{C3380CC4-5D6E-409C-BE32-E72D297353CC}">
                <c16:uniqueId val="{0000000C-8BF4-418F-A2FF-598BE7D5254F}"/>
              </c:ext>
            </c:extLst>
          </c:dPt>
          <c:dPt>
            <c:idx val="2"/>
            <c:invertIfNegative val="0"/>
            <c:bubble3D val="0"/>
            <c:spPr>
              <a:solidFill>
                <a:srgbClr val="A5A5A5"/>
              </a:solidFill>
              <a:ln>
                <a:noFill/>
              </a:ln>
              <a:effectLst/>
            </c:spPr>
            <c:extLst>
              <c:ext xmlns:c16="http://schemas.microsoft.com/office/drawing/2014/chart" uri="{C3380CC4-5D6E-409C-BE32-E72D297353CC}">
                <c16:uniqueId val="{0000000E-8BF4-418F-A2FF-598BE7D5254F}"/>
              </c:ext>
            </c:extLst>
          </c:dPt>
          <c:dPt>
            <c:idx val="3"/>
            <c:invertIfNegative val="0"/>
            <c:bubble3D val="0"/>
            <c:spPr>
              <a:pattFill prst="dkHorz">
                <a:fgClr>
                  <a:srgbClr val="A5A5A5"/>
                </a:fgClr>
                <a:bgClr>
                  <a:schemeClr val="bg1"/>
                </a:bgClr>
              </a:pattFill>
              <a:ln>
                <a:noFill/>
              </a:ln>
              <a:effectLst/>
            </c:spPr>
            <c:extLst>
              <c:ext xmlns:c16="http://schemas.microsoft.com/office/drawing/2014/chart" uri="{C3380CC4-5D6E-409C-BE32-E72D297353CC}">
                <c16:uniqueId val="{00000010-8BF4-418F-A2FF-598BE7D525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Sheet1!$A$50:$A$53</c:f>
              <c:strCache>
                <c:ptCount val="4"/>
                <c:pt idx="0">
                  <c:v>2022 Q1</c:v>
                </c:pt>
                <c:pt idx="1">
                  <c:v>2022 Q2</c:v>
                </c:pt>
                <c:pt idx="2">
                  <c:v>2022 Q3</c:v>
                </c:pt>
                <c:pt idx="3">
                  <c:v>2022 Q4</c:v>
                </c:pt>
              </c:strCache>
            </c:strRef>
          </c:cat>
          <c:val>
            <c:numRef>
              <c:f>Sheet1!$C$50:$C$53</c:f>
              <c:numCache>
                <c:formatCode>General</c:formatCode>
                <c:ptCount val="4"/>
                <c:pt idx="0">
                  <c:v>363</c:v>
                </c:pt>
                <c:pt idx="1">
                  <c:v>402</c:v>
                </c:pt>
                <c:pt idx="2">
                  <c:v>399</c:v>
                </c:pt>
                <c:pt idx="3">
                  <c:v>334</c:v>
                </c:pt>
              </c:numCache>
            </c:numRef>
          </c:val>
          <c:extLst>
            <c:ext xmlns:c16="http://schemas.microsoft.com/office/drawing/2014/chart" uri="{C3380CC4-5D6E-409C-BE32-E72D297353CC}">
              <c16:uniqueId val="{00000011-8BF4-418F-A2FF-598BE7D5254F}"/>
            </c:ext>
          </c:extLst>
        </c:ser>
        <c:ser>
          <c:idx val="2"/>
          <c:order val="2"/>
          <c:tx>
            <c:strRef>
              <c:f>Sheet1!$D$40</c:f>
              <c:strCache>
                <c:ptCount val="1"/>
                <c:pt idx="0">
                  <c:v>Heroin</c:v>
                </c:pt>
              </c:strCache>
            </c:strRef>
          </c:tx>
          <c:spPr>
            <a:solidFill>
              <a:srgbClr val="000000"/>
            </a:solidFill>
            <a:ln>
              <a:noFill/>
            </a:ln>
            <a:effectLst/>
          </c:spPr>
          <c:invertIfNegative val="0"/>
          <c:dPt>
            <c:idx val="0"/>
            <c:invertIfNegative val="0"/>
            <c:bubble3D val="0"/>
            <c:spPr>
              <a:solidFill>
                <a:srgbClr val="000000"/>
              </a:solidFill>
              <a:ln>
                <a:noFill/>
              </a:ln>
              <a:effectLst/>
            </c:spPr>
            <c:extLst>
              <c:ext xmlns:c16="http://schemas.microsoft.com/office/drawing/2014/chart" uri="{C3380CC4-5D6E-409C-BE32-E72D297353CC}">
                <c16:uniqueId val="{00000013-8BF4-418F-A2FF-598BE7D5254F}"/>
              </c:ext>
            </c:extLst>
          </c:dPt>
          <c:dPt>
            <c:idx val="1"/>
            <c:invertIfNegative val="0"/>
            <c:bubble3D val="0"/>
            <c:spPr>
              <a:solidFill>
                <a:srgbClr val="000000"/>
              </a:solidFill>
              <a:ln>
                <a:noFill/>
              </a:ln>
              <a:effectLst/>
            </c:spPr>
            <c:extLst>
              <c:ext xmlns:c16="http://schemas.microsoft.com/office/drawing/2014/chart" uri="{C3380CC4-5D6E-409C-BE32-E72D297353CC}">
                <c16:uniqueId val="{00000015-8BF4-418F-A2FF-598BE7D5254F}"/>
              </c:ext>
            </c:extLst>
          </c:dPt>
          <c:dPt>
            <c:idx val="2"/>
            <c:invertIfNegative val="0"/>
            <c:bubble3D val="0"/>
            <c:spPr>
              <a:solidFill>
                <a:srgbClr val="000000"/>
              </a:solidFill>
              <a:ln>
                <a:noFill/>
              </a:ln>
              <a:effectLst/>
            </c:spPr>
            <c:extLst>
              <c:ext xmlns:c16="http://schemas.microsoft.com/office/drawing/2014/chart" uri="{C3380CC4-5D6E-409C-BE32-E72D297353CC}">
                <c16:uniqueId val="{00000017-8BF4-418F-A2FF-598BE7D5254F}"/>
              </c:ext>
            </c:extLst>
          </c:dPt>
          <c:dPt>
            <c:idx val="3"/>
            <c:invertIfNegative val="0"/>
            <c:bubble3D val="0"/>
            <c:spPr>
              <a:pattFill prst="dkHorz">
                <a:fgClr>
                  <a:srgbClr val="000000"/>
                </a:fgClr>
                <a:bgClr>
                  <a:schemeClr val="bg1"/>
                </a:bgClr>
              </a:pattFill>
              <a:ln>
                <a:noFill/>
              </a:ln>
              <a:effectLst/>
            </c:spPr>
            <c:extLst>
              <c:ext xmlns:c16="http://schemas.microsoft.com/office/drawing/2014/chart" uri="{C3380CC4-5D6E-409C-BE32-E72D297353CC}">
                <c16:uniqueId val="{00000019-8BF4-418F-A2FF-598BE7D525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Sheet1!$A$50:$A$53</c:f>
              <c:strCache>
                <c:ptCount val="4"/>
                <c:pt idx="0">
                  <c:v>2022 Q1</c:v>
                </c:pt>
                <c:pt idx="1">
                  <c:v>2022 Q2</c:v>
                </c:pt>
                <c:pt idx="2">
                  <c:v>2022 Q3</c:v>
                </c:pt>
                <c:pt idx="3">
                  <c:v>2022 Q4</c:v>
                </c:pt>
              </c:strCache>
            </c:strRef>
          </c:cat>
          <c:val>
            <c:numRef>
              <c:f>Sheet1!$D$50:$D$53</c:f>
              <c:numCache>
                <c:formatCode>General</c:formatCode>
                <c:ptCount val="4"/>
                <c:pt idx="0">
                  <c:v>62</c:v>
                </c:pt>
                <c:pt idx="1">
                  <c:v>47</c:v>
                </c:pt>
                <c:pt idx="2">
                  <c:v>31</c:v>
                </c:pt>
                <c:pt idx="3">
                  <c:v>22</c:v>
                </c:pt>
              </c:numCache>
            </c:numRef>
          </c:val>
          <c:extLst>
            <c:ext xmlns:c16="http://schemas.microsoft.com/office/drawing/2014/chart" uri="{C3380CC4-5D6E-409C-BE32-E72D297353CC}">
              <c16:uniqueId val="{0000001A-8BF4-418F-A2FF-598BE7D5254F}"/>
            </c:ext>
          </c:extLst>
        </c:ser>
        <c:dLbls>
          <c:dLblPos val="outEnd"/>
          <c:showLegendKey val="0"/>
          <c:showVal val="1"/>
          <c:showCatName val="0"/>
          <c:showSerName val="0"/>
          <c:showPercent val="0"/>
          <c:showBubbleSize val="0"/>
        </c:dLbls>
        <c:gapWidth val="219"/>
        <c:overlap val="-27"/>
        <c:axId val="563166400"/>
        <c:axId val="563166816"/>
      </c:barChart>
      <c:catAx>
        <c:axId val="56316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3166816"/>
        <c:crosses val="autoZero"/>
        <c:auto val="1"/>
        <c:lblAlgn val="ctr"/>
        <c:lblOffset val="100"/>
        <c:noMultiLvlLbl val="0"/>
      </c:catAx>
      <c:valAx>
        <c:axId val="5631668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No.</a:t>
                </a:r>
                <a:r>
                  <a:rPr lang="en-US" baseline="0">
                    <a:solidFill>
                      <a:sysClr val="windowText" lastClr="000000"/>
                    </a:solidFill>
                  </a:rPr>
                  <a:t> of Deaths</a:t>
                </a:r>
                <a:endParaRPr lang="en-US">
                  <a:solidFill>
                    <a:sysClr val="windowText" lastClr="000000"/>
                  </a:solidFill>
                </a:endParaRPr>
              </a:p>
            </c:rich>
          </c:tx>
          <c:layout>
            <c:manualLayout>
              <c:xMode val="edge"/>
              <c:yMode val="edge"/>
              <c:x val="1.9215656327904413E-2"/>
              <c:y val="0.313992815744260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3166400"/>
        <c:crosses val="autoZero"/>
        <c:crossBetween val="between"/>
      </c:valAx>
      <c:spPr>
        <a:noFill/>
        <a:ln>
          <a:noFill/>
        </a:ln>
        <a:effectLst/>
      </c:spPr>
    </c:plotArea>
    <c:legend>
      <c:legendPos val="b"/>
      <c:layout>
        <c:manualLayout>
          <c:xMode val="edge"/>
          <c:yMode val="edge"/>
          <c:x val="0.27519430081836732"/>
          <c:y val="0.22369658792650918"/>
          <c:w val="0.44197457164997267"/>
          <c:h val="9.014489961677250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ysClr val="windowText" lastClr="000000"/>
                </a:solidFill>
                <a:latin typeface="Segoe UI" panose="020B0502040204020203" pitchFamily="34" charset="0"/>
                <a:ea typeface="+mn-ea"/>
                <a:cs typeface="Segoe UI" panose="020B0502040204020203" pitchFamily="34" charset="0"/>
              </a:defRPr>
            </a:pPr>
            <a:r>
              <a:rPr lang="en-US" sz="900" b="1"/>
              <a:t>Quarterly Drug-Involved Overdose Emergency Department (ED) Visit and Hospitalization Rates, by Drug Type, Georgia Residents, 2019-2022</a:t>
            </a: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autoTitleDeleted val="0"/>
    <c:plotArea>
      <c:layout>
        <c:manualLayout>
          <c:layoutTarget val="inner"/>
          <c:xMode val="edge"/>
          <c:yMode val="edge"/>
          <c:x val="0.14137218250679193"/>
          <c:y val="0.38421428382058304"/>
          <c:w val="0.81912607346779021"/>
          <c:h val="0.38595791056420975"/>
        </c:manualLayout>
      </c:layout>
      <c:lineChart>
        <c:grouping val="standard"/>
        <c:varyColors val="0"/>
        <c:ser>
          <c:idx val="0"/>
          <c:order val="0"/>
          <c:tx>
            <c:strRef>
              <c:f>Sheet1!$B$64</c:f>
              <c:strCache>
                <c:ptCount val="1"/>
                <c:pt idx="0">
                  <c:v>Any Opioid ED Visits</c:v>
                </c:pt>
              </c:strCache>
            </c:strRef>
          </c:tx>
          <c:spPr>
            <a:ln w="28575" cap="rnd">
              <a:solidFill>
                <a:srgbClr val="ED1C28"/>
              </a:solidFill>
              <a:round/>
            </a:ln>
            <a:effectLst/>
          </c:spPr>
          <c:marker>
            <c:symbol val="none"/>
          </c:marker>
          <c:cat>
            <c:strRef>
              <c:f>Sheet1!$A$80:$A$92</c:f>
              <c:strCache>
                <c:ptCount val="13"/>
                <c:pt idx="0">
                  <c:v>2019 Q4</c:v>
                </c:pt>
                <c:pt idx="1">
                  <c:v>2020 Q1</c:v>
                </c:pt>
                <c:pt idx="2">
                  <c:v>2020 Q2</c:v>
                </c:pt>
                <c:pt idx="3">
                  <c:v>2020 Q3</c:v>
                </c:pt>
                <c:pt idx="4">
                  <c:v>2020 Q4</c:v>
                </c:pt>
                <c:pt idx="5">
                  <c:v>2021 Q1</c:v>
                </c:pt>
                <c:pt idx="6">
                  <c:v>2021 Q2</c:v>
                </c:pt>
                <c:pt idx="7">
                  <c:v>2021 Q3</c:v>
                </c:pt>
                <c:pt idx="8">
                  <c:v>2021 Q4</c:v>
                </c:pt>
                <c:pt idx="9">
                  <c:v>2022 Q1</c:v>
                </c:pt>
                <c:pt idx="10">
                  <c:v>2022 Q2</c:v>
                </c:pt>
                <c:pt idx="11">
                  <c:v>2022 Q3</c:v>
                </c:pt>
                <c:pt idx="12">
                  <c:v>2022 Q4</c:v>
                </c:pt>
              </c:strCache>
            </c:strRef>
          </c:cat>
          <c:val>
            <c:numRef>
              <c:f>Sheet1!$B$80:$B$92</c:f>
              <c:numCache>
                <c:formatCode>0.0</c:formatCode>
                <c:ptCount val="13"/>
                <c:pt idx="0">
                  <c:v>11.443669999999999</c:v>
                </c:pt>
                <c:pt idx="1">
                  <c:v>11.9</c:v>
                </c:pt>
                <c:pt idx="2">
                  <c:v>15.1</c:v>
                </c:pt>
                <c:pt idx="3">
                  <c:v>15</c:v>
                </c:pt>
                <c:pt idx="4">
                  <c:v>13.2</c:v>
                </c:pt>
                <c:pt idx="5">
                  <c:v>15.4</c:v>
                </c:pt>
                <c:pt idx="6">
                  <c:v>17</c:v>
                </c:pt>
                <c:pt idx="7">
                  <c:v>14.9</c:v>
                </c:pt>
                <c:pt idx="8">
                  <c:v>15.3</c:v>
                </c:pt>
                <c:pt idx="9">
                  <c:v>13.8</c:v>
                </c:pt>
                <c:pt idx="10">
                  <c:v>15.5</c:v>
                </c:pt>
                <c:pt idx="11">
                  <c:v>14.2</c:v>
                </c:pt>
                <c:pt idx="12">
                  <c:v>12.5</c:v>
                </c:pt>
              </c:numCache>
            </c:numRef>
          </c:val>
          <c:smooth val="0"/>
          <c:extLst>
            <c:ext xmlns:c16="http://schemas.microsoft.com/office/drawing/2014/chart" uri="{C3380CC4-5D6E-409C-BE32-E72D297353CC}">
              <c16:uniqueId val="{00000000-DE7B-467B-8224-75B11CE9055D}"/>
            </c:ext>
          </c:extLst>
        </c:ser>
        <c:ser>
          <c:idx val="1"/>
          <c:order val="1"/>
          <c:tx>
            <c:strRef>
              <c:f>Sheet1!$C$64</c:f>
              <c:strCache>
                <c:ptCount val="1"/>
                <c:pt idx="0">
                  <c:v>Heroin ED Visits</c:v>
                </c:pt>
              </c:strCache>
            </c:strRef>
          </c:tx>
          <c:spPr>
            <a:ln w="28575" cap="rnd">
              <a:solidFill>
                <a:srgbClr val="231F20"/>
              </a:solidFill>
              <a:round/>
            </a:ln>
            <a:effectLst/>
          </c:spPr>
          <c:marker>
            <c:symbol val="none"/>
          </c:marker>
          <c:cat>
            <c:strRef>
              <c:f>Sheet1!$A$80:$A$92</c:f>
              <c:strCache>
                <c:ptCount val="13"/>
                <c:pt idx="0">
                  <c:v>2019 Q4</c:v>
                </c:pt>
                <c:pt idx="1">
                  <c:v>2020 Q1</c:v>
                </c:pt>
                <c:pt idx="2">
                  <c:v>2020 Q2</c:v>
                </c:pt>
                <c:pt idx="3">
                  <c:v>2020 Q3</c:v>
                </c:pt>
                <c:pt idx="4">
                  <c:v>2020 Q4</c:v>
                </c:pt>
                <c:pt idx="5">
                  <c:v>2021 Q1</c:v>
                </c:pt>
                <c:pt idx="6">
                  <c:v>2021 Q2</c:v>
                </c:pt>
                <c:pt idx="7">
                  <c:v>2021 Q3</c:v>
                </c:pt>
                <c:pt idx="8">
                  <c:v>2021 Q4</c:v>
                </c:pt>
                <c:pt idx="9">
                  <c:v>2022 Q1</c:v>
                </c:pt>
                <c:pt idx="10">
                  <c:v>2022 Q2</c:v>
                </c:pt>
                <c:pt idx="11">
                  <c:v>2022 Q3</c:v>
                </c:pt>
                <c:pt idx="12">
                  <c:v>2022 Q4</c:v>
                </c:pt>
              </c:strCache>
            </c:strRef>
          </c:cat>
          <c:val>
            <c:numRef>
              <c:f>Sheet1!$C$80:$C$92</c:f>
              <c:numCache>
                <c:formatCode>0.0</c:formatCode>
                <c:ptCount val="13"/>
                <c:pt idx="0">
                  <c:v>3.80762</c:v>
                </c:pt>
                <c:pt idx="1">
                  <c:v>3.9518499999999999</c:v>
                </c:pt>
                <c:pt idx="2">
                  <c:v>5.7</c:v>
                </c:pt>
                <c:pt idx="3">
                  <c:v>4.9000000000000004</c:v>
                </c:pt>
                <c:pt idx="4">
                  <c:v>5.0999999999999996</c:v>
                </c:pt>
                <c:pt idx="5">
                  <c:v>6</c:v>
                </c:pt>
                <c:pt idx="6">
                  <c:v>5.7</c:v>
                </c:pt>
                <c:pt idx="7">
                  <c:v>5.4</c:v>
                </c:pt>
                <c:pt idx="8">
                  <c:v>5.4</c:v>
                </c:pt>
                <c:pt idx="9">
                  <c:v>4.7</c:v>
                </c:pt>
                <c:pt idx="10">
                  <c:v>4.2</c:v>
                </c:pt>
                <c:pt idx="11">
                  <c:v>3.4</c:v>
                </c:pt>
                <c:pt idx="12">
                  <c:v>2.9</c:v>
                </c:pt>
              </c:numCache>
            </c:numRef>
          </c:val>
          <c:smooth val="0"/>
          <c:extLst xmlns:c15="http://schemas.microsoft.com/office/drawing/2012/chart">
            <c:ext xmlns:c16="http://schemas.microsoft.com/office/drawing/2014/chart" uri="{C3380CC4-5D6E-409C-BE32-E72D297353CC}">
              <c16:uniqueId val="{00000001-DE7B-467B-8224-75B11CE9055D}"/>
            </c:ext>
          </c:extLst>
        </c:ser>
        <c:ser>
          <c:idx val="2"/>
          <c:order val="2"/>
          <c:tx>
            <c:strRef>
              <c:f>Sheet1!$D$64</c:f>
              <c:strCache>
                <c:ptCount val="1"/>
                <c:pt idx="0">
                  <c:v>Any Opioid Hospitalizations</c:v>
                </c:pt>
              </c:strCache>
            </c:strRef>
          </c:tx>
          <c:spPr>
            <a:ln w="28575" cap="rnd">
              <a:solidFill>
                <a:srgbClr val="ED1C28"/>
              </a:solidFill>
              <a:prstDash val="dash"/>
              <a:round/>
            </a:ln>
            <a:effectLst/>
          </c:spPr>
          <c:marker>
            <c:symbol val="none"/>
          </c:marker>
          <c:cat>
            <c:strRef>
              <c:f>Sheet1!$A$80:$A$92</c:f>
              <c:strCache>
                <c:ptCount val="13"/>
                <c:pt idx="0">
                  <c:v>2019 Q4</c:v>
                </c:pt>
                <c:pt idx="1">
                  <c:v>2020 Q1</c:v>
                </c:pt>
                <c:pt idx="2">
                  <c:v>2020 Q2</c:v>
                </c:pt>
                <c:pt idx="3">
                  <c:v>2020 Q3</c:v>
                </c:pt>
                <c:pt idx="4">
                  <c:v>2020 Q4</c:v>
                </c:pt>
                <c:pt idx="5">
                  <c:v>2021 Q1</c:v>
                </c:pt>
                <c:pt idx="6">
                  <c:v>2021 Q2</c:v>
                </c:pt>
                <c:pt idx="7">
                  <c:v>2021 Q3</c:v>
                </c:pt>
                <c:pt idx="8">
                  <c:v>2021 Q4</c:v>
                </c:pt>
                <c:pt idx="9">
                  <c:v>2022 Q1</c:v>
                </c:pt>
                <c:pt idx="10">
                  <c:v>2022 Q2</c:v>
                </c:pt>
                <c:pt idx="11">
                  <c:v>2022 Q3</c:v>
                </c:pt>
                <c:pt idx="12">
                  <c:v>2022 Q4</c:v>
                </c:pt>
              </c:strCache>
            </c:strRef>
          </c:cat>
          <c:val>
            <c:numRef>
              <c:f>Sheet1!$D$80:$D$92</c:f>
              <c:numCache>
                <c:formatCode>0.0</c:formatCode>
                <c:ptCount val="13"/>
                <c:pt idx="0">
                  <c:v>4.2995000000000001</c:v>
                </c:pt>
                <c:pt idx="1">
                  <c:v>4.7880000000000003</c:v>
                </c:pt>
                <c:pt idx="2">
                  <c:v>4.5999999999999996</c:v>
                </c:pt>
                <c:pt idx="3">
                  <c:v>4.9000000000000004</c:v>
                </c:pt>
                <c:pt idx="4">
                  <c:v>4.2</c:v>
                </c:pt>
                <c:pt idx="5">
                  <c:v>4.4000000000000004</c:v>
                </c:pt>
                <c:pt idx="6">
                  <c:v>5.2</c:v>
                </c:pt>
                <c:pt idx="7">
                  <c:v>4.2</c:v>
                </c:pt>
                <c:pt idx="8">
                  <c:v>4.5</c:v>
                </c:pt>
                <c:pt idx="9">
                  <c:v>4.0999999999999996</c:v>
                </c:pt>
                <c:pt idx="10">
                  <c:v>4.8</c:v>
                </c:pt>
                <c:pt idx="11">
                  <c:v>4.3</c:v>
                </c:pt>
                <c:pt idx="12">
                  <c:v>3.9</c:v>
                </c:pt>
              </c:numCache>
            </c:numRef>
          </c:val>
          <c:smooth val="0"/>
          <c:extLst>
            <c:ext xmlns:c16="http://schemas.microsoft.com/office/drawing/2014/chart" uri="{C3380CC4-5D6E-409C-BE32-E72D297353CC}">
              <c16:uniqueId val="{00000002-DE7B-467B-8224-75B11CE9055D}"/>
            </c:ext>
          </c:extLst>
        </c:ser>
        <c:ser>
          <c:idx val="3"/>
          <c:order val="3"/>
          <c:tx>
            <c:strRef>
              <c:f>Sheet1!$E$64</c:f>
              <c:strCache>
                <c:ptCount val="1"/>
                <c:pt idx="0">
                  <c:v>Heroin Hospitalizations</c:v>
                </c:pt>
              </c:strCache>
            </c:strRef>
          </c:tx>
          <c:spPr>
            <a:ln w="28575" cap="rnd">
              <a:solidFill>
                <a:srgbClr val="231F20"/>
              </a:solidFill>
              <a:prstDash val="dash"/>
              <a:round/>
            </a:ln>
            <a:effectLst/>
          </c:spPr>
          <c:marker>
            <c:symbol val="none"/>
          </c:marker>
          <c:cat>
            <c:strRef>
              <c:f>Sheet1!$A$80:$A$92</c:f>
              <c:strCache>
                <c:ptCount val="13"/>
                <c:pt idx="0">
                  <c:v>2019 Q4</c:v>
                </c:pt>
                <c:pt idx="1">
                  <c:v>2020 Q1</c:v>
                </c:pt>
                <c:pt idx="2">
                  <c:v>2020 Q2</c:v>
                </c:pt>
                <c:pt idx="3">
                  <c:v>2020 Q3</c:v>
                </c:pt>
                <c:pt idx="4">
                  <c:v>2020 Q4</c:v>
                </c:pt>
                <c:pt idx="5">
                  <c:v>2021 Q1</c:v>
                </c:pt>
                <c:pt idx="6">
                  <c:v>2021 Q2</c:v>
                </c:pt>
                <c:pt idx="7">
                  <c:v>2021 Q3</c:v>
                </c:pt>
                <c:pt idx="8">
                  <c:v>2021 Q4</c:v>
                </c:pt>
                <c:pt idx="9">
                  <c:v>2022 Q1</c:v>
                </c:pt>
                <c:pt idx="10">
                  <c:v>2022 Q2</c:v>
                </c:pt>
                <c:pt idx="11">
                  <c:v>2022 Q3</c:v>
                </c:pt>
                <c:pt idx="12">
                  <c:v>2022 Q4</c:v>
                </c:pt>
              </c:strCache>
            </c:strRef>
          </c:cat>
          <c:val>
            <c:numRef>
              <c:f>Sheet1!$E$80:$E$92</c:f>
              <c:numCache>
                <c:formatCode>0.0</c:formatCode>
                <c:ptCount val="13"/>
                <c:pt idx="0">
                  <c:v>0.84943000000000002</c:v>
                </c:pt>
                <c:pt idx="1">
                  <c:v>0.92584</c:v>
                </c:pt>
                <c:pt idx="2">
                  <c:v>0.9</c:v>
                </c:pt>
                <c:pt idx="3">
                  <c:v>1</c:v>
                </c:pt>
                <c:pt idx="4">
                  <c:v>1</c:v>
                </c:pt>
                <c:pt idx="5">
                  <c:v>1.2</c:v>
                </c:pt>
                <c:pt idx="6">
                  <c:v>1.1000000000000001</c:v>
                </c:pt>
                <c:pt idx="7">
                  <c:v>1</c:v>
                </c:pt>
                <c:pt idx="8">
                  <c:v>1.2</c:v>
                </c:pt>
                <c:pt idx="9">
                  <c:v>1</c:v>
                </c:pt>
                <c:pt idx="10">
                  <c:v>1</c:v>
                </c:pt>
                <c:pt idx="11">
                  <c:v>0.6</c:v>
                </c:pt>
                <c:pt idx="12">
                  <c:v>0.6</c:v>
                </c:pt>
              </c:numCache>
            </c:numRef>
          </c:val>
          <c:smooth val="0"/>
          <c:extLst>
            <c:ext xmlns:c16="http://schemas.microsoft.com/office/drawing/2014/chart" uri="{C3380CC4-5D6E-409C-BE32-E72D297353CC}">
              <c16:uniqueId val="{00000003-DE7B-467B-8224-75B11CE9055D}"/>
            </c:ext>
          </c:extLst>
        </c:ser>
        <c:dLbls>
          <c:showLegendKey val="0"/>
          <c:showVal val="0"/>
          <c:showCatName val="0"/>
          <c:showSerName val="0"/>
          <c:showPercent val="0"/>
          <c:showBubbleSize val="0"/>
        </c:dLbls>
        <c:smooth val="0"/>
        <c:axId val="978676656"/>
        <c:axId val="726061688"/>
        <c:extLst/>
      </c:lineChart>
      <c:catAx>
        <c:axId val="9786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726061688"/>
        <c:crosses val="autoZero"/>
        <c:auto val="1"/>
        <c:lblAlgn val="ctr"/>
        <c:lblOffset val="100"/>
        <c:noMultiLvlLbl val="0"/>
      </c:catAx>
      <c:valAx>
        <c:axId val="726061688"/>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r>
                  <a:rPr lang="en-US">
                    <a:solidFill>
                      <a:sysClr val="windowText" lastClr="000000"/>
                    </a:solidFill>
                  </a:rPr>
                  <a:t>ED visits or hospitalizaitons/ 100,000 pop</a:t>
                </a:r>
              </a:p>
            </c:rich>
          </c:tx>
          <c:layout>
            <c:manualLayout>
              <c:xMode val="edge"/>
              <c:yMode val="edge"/>
              <c:x val="1.6483986255215737E-2"/>
              <c:y val="0.1648358514364707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978676656"/>
        <c:crosses val="autoZero"/>
        <c:crossBetween val="between"/>
      </c:valAx>
      <c:spPr>
        <a:noFill/>
        <a:ln>
          <a:noFill/>
        </a:ln>
        <a:effectLst/>
      </c:spPr>
    </c:plotArea>
    <c:legend>
      <c:legendPos val="t"/>
      <c:layout>
        <c:manualLayout>
          <c:xMode val="edge"/>
          <c:yMode val="edge"/>
          <c:x val="0.20425516887903633"/>
          <c:y val="0.22204722108722832"/>
          <c:w val="0.63032381026384865"/>
          <c:h val="0.189856949699469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Segoe UI" panose="020B0502040204020203" pitchFamily="34" charset="0"/>
          <a:cs typeface="Segoe UI" panose="020B0502040204020203"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ysClr val="windowText" lastClr="000000"/>
                </a:solidFill>
                <a:latin typeface="Segoe UI" panose="020B0502040204020203" pitchFamily="34" charset="0"/>
                <a:ea typeface="+mn-ea"/>
                <a:cs typeface="Segoe UI" panose="020B0502040204020203" pitchFamily="34" charset="0"/>
              </a:defRPr>
            </a:pPr>
            <a:r>
              <a:rPr lang="en-US" sz="900" b="1"/>
              <a:t>Quarterly Opioid-Involved Overdose Emergency Department (ED) Visits and Hospitalizations, by Drug Type, Georgia Residents, 2022</a:t>
            </a:r>
            <a:r>
              <a:rPr lang="en-US" sz="900" b="1" baseline="0"/>
              <a:t> Q1-2022 Q4</a:t>
            </a:r>
          </a:p>
        </c:rich>
      </c:tx>
      <c:layout>
        <c:manualLayout>
          <c:xMode val="edge"/>
          <c:yMode val="edge"/>
          <c:x val="0.10635404402657515"/>
          <c:y val="2.6246719160104987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autoTitleDeleted val="0"/>
    <c:plotArea>
      <c:layout>
        <c:manualLayout>
          <c:layoutTarget val="inner"/>
          <c:xMode val="edge"/>
          <c:yMode val="edge"/>
          <c:x val="0.12486953181753657"/>
          <c:y val="0.30062950792568249"/>
          <c:w val="0.85819284022424025"/>
          <c:h val="0.44563987691193774"/>
        </c:manualLayout>
      </c:layout>
      <c:barChart>
        <c:barDir val="col"/>
        <c:grouping val="clustered"/>
        <c:varyColors val="0"/>
        <c:ser>
          <c:idx val="0"/>
          <c:order val="0"/>
          <c:tx>
            <c:strRef>
              <c:f>Sheet1!$B$102</c:f>
              <c:strCache>
                <c:ptCount val="1"/>
                <c:pt idx="0">
                  <c:v>Any Opioid</c:v>
                </c:pt>
              </c:strCache>
            </c:strRef>
          </c:tx>
          <c:spPr>
            <a:solidFill>
              <a:srgbClr val="ED1C28"/>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Sheet1!$A$111:$A$118</c:f>
              <c:strCache>
                <c:ptCount val="8"/>
                <c:pt idx="0">
                  <c:v>ED Visits 2022 Q1</c:v>
                </c:pt>
                <c:pt idx="1">
                  <c:v>ED Visits 2022 Q2</c:v>
                </c:pt>
                <c:pt idx="2">
                  <c:v>ED Visits 2022 Q3</c:v>
                </c:pt>
                <c:pt idx="3">
                  <c:v>ED Visits 2022 Q4</c:v>
                </c:pt>
                <c:pt idx="4">
                  <c:v>Hospitalizations 2022 Q1</c:v>
                </c:pt>
                <c:pt idx="5">
                  <c:v>Hospitalizations 2022 Q2</c:v>
                </c:pt>
                <c:pt idx="6">
                  <c:v>Hospitalizations 2022 Q3</c:v>
                </c:pt>
                <c:pt idx="7">
                  <c:v>Hospitalizations 2022 Q4</c:v>
                </c:pt>
              </c:strCache>
            </c:strRef>
          </c:cat>
          <c:val>
            <c:numRef>
              <c:f>Sheet1!$B$111:$B$118</c:f>
              <c:numCache>
                <c:formatCode>General</c:formatCode>
                <c:ptCount val="8"/>
                <c:pt idx="0">
                  <c:v>1454</c:v>
                </c:pt>
                <c:pt idx="1">
                  <c:v>1626</c:v>
                </c:pt>
                <c:pt idx="2">
                  <c:v>1491</c:v>
                </c:pt>
                <c:pt idx="3">
                  <c:v>1320</c:v>
                </c:pt>
                <c:pt idx="4">
                  <c:v>461</c:v>
                </c:pt>
                <c:pt idx="5">
                  <c:v>528</c:v>
                </c:pt>
                <c:pt idx="6">
                  <c:v>476</c:v>
                </c:pt>
                <c:pt idx="7">
                  <c:v>404</c:v>
                </c:pt>
              </c:numCache>
            </c:numRef>
          </c:val>
          <c:extLst>
            <c:ext xmlns:c16="http://schemas.microsoft.com/office/drawing/2014/chart" uri="{C3380CC4-5D6E-409C-BE32-E72D297353CC}">
              <c16:uniqueId val="{00000000-0A98-4C0C-8619-AFFD4051D204}"/>
            </c:ext>
          </c:extLst>
        </c:ser>
        <c:ser>
          <c:idx val="1"/>
          <c:order val="1"/>
          <c:tx>
            <c:strRef>
              <c:f>Sheet1!$C$102</c:f>
              <c:strCache>
                <c:ptCount val="1"/>
                <c:pt idx="0">
                  <c:v>Heroin</c:v>
                </c:pt>
              </c:strCache>
            </c:strRef>
          </c:tx>
          <c:spPr>
            <a:solidFill>
              <a:srgbClr val="231F2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Sheet1!$A$111:$A$118</c:f>
              <c:strCache>
                <c:ptCount val="8"/>
                <c:pt idx="0">
                  <c:v>ED Visits 2022 Q1</c:v>
                </c:pt>
                <c:pt idx="1">
                  <c:v>ED Visits 2022 Q2</c:v>
                </c:pt>
                <c:pt idx="2">
                  <c:v>ED Visits 2022 Q3</c:v>
                </c:pt>
                <c:pt idx="3">
                  <c:v>ED Visits 2022 Q4</c:v>
                </c:pt>
                <c:pt idx="4">
                  <c:v>Hospitalizations 2022 Q1</c:v>
                </c:pt>
                <c:pt idx="5">
                  <c:v>Hospitalizations 2022 Q2</c:v>
                </c:pt>
                <c:pt idx="6">
                  <c:v>Hospitalizations 2022 Q3</c:v>
                </c:pt>
                <c:pt idx="7">
                  <c:v>Hospitalizations 2022 Q4</c:v>
                </c:pt>
              </c:strCache>
            </c:strRef>
          </c:cat>
          <c:val>
            <c:numRef>
              <c:f>Sheet1!$C$111:$C$118</c:f>
              <c:numCache>
                <c:formatCode>General</c:formatCode>
                <c:ptCount val="8"/>
                <c:pt idx="0">
                  <c:v>477</c:v>
                </c:pt>
                <c:pt idx="1">
                  <c:v>426</c:v>
                </c:pt>
                <c:pt idx="2">
                  <c:v>349</c:v>
                </c:pt>
                <c:pt idx="3">
                  <c:v>294</c:v>
                </c:pt>
                <c:pt idx="4">
                  <c:v>105</c:v>
                </c:pt>
                <c:pt idx="5">
                  <c:v>98</c:v>
                </c:pt>
                <c:pt idx="6">
                  <c:v>69</c:v>
                </c:pt>
                <c:pt idx="7">
                  <c:v>65</c:v>
                </c:pt>
              </c:numCache>
            </c:numRef>
          </c:val>
          <c:extLst>
            <c:ext xmlns:c16="http://schemas.microsoft.com/office/drawing/2014/chart" uri="{C3380CC4-5D6E-409C-BE32-E72D297353CC}">
              <c16:uniqueId val="{00000001-0A98-4C0C-8619-AFFD4051D204}"/>
            </c:ext>
          </c:extLst>
        </c:ser>
        <c:dLbls>
          <c:dLblPos val="outEnd"/>
          <c:showLegendKey val="0"/>
          <c:showVal val="1"/>
          <c:showCatName val="0"/>
          <c:showSerName val="0"/>
          <c:showPercent val="0"/>
          <c:showBubbleSize val="0"/>
        </c:dLbls>
        <c:gapWidth val="219"/>
        <c:overlap val="-27"/>
        <c:axId val="552609136"/>
        <c:axId val="552609528"/>
      </c:barChart>
      <c:catAx>
        <c:axId val="55260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552609528"/>
        <c:crosses val="autoZero"/>
        <c:auto val="1"/>
        <c:lblAlgn val="ctr"/>
        <c:lblOffset val="100"/>
        <c:noMultiLvlLbl val="0"/>
      </c:catAx>
      <c:valAx>
        <c:axId val="552609528"/>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r>
                  <a:rPr lang="en-US"/>
                  <a:t>No. of visits or hospitalizations</a:t>
                </a:r>
              </a:p>
            </c:rich>
          </c:tx>
          <c:layout>
            <c:manualLayout>
              <c:xMode val="edge"/>
              <c:yMode val="edge"/>
              <c:x val="4.253938152008304E-2"/>
              <c:y val="0.1790948305374871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552609136"/>
        <c:crosses val="autoZero"/>
        <c:crossBetween val="between"/>
      </c:valAx>
      <c:spPr>
        <a:noFill/>
        <a:ln>
          <a:noFill/>
        </a:ln>
        <a:effectLst/>
      </c:spPr>
    </c:plotArea>
    <c:legend>
      <c:legendPos val="b"/>
      <c:layout>
        <c:manualLayout>
          <c:xMode val="edge"/>
          <c:yMode val="edge"/>
          <c:x val="0.52038127249527066"/>
          <c:y val="0.23426817300011413"/>
          <c:w val="0.22771575839204311"/>
          <c:h val="7.036796132411836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Segoe UI" panose="020B0502040204020203" pitchFamily="34" charset="0"/>
          <a:cs typeface="Segoe UI" panose="020B0502040204020203"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A3FF-EB08-4D31-B651-00E4238D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Tiffany</dc:creator>
  <cp:keywords/>
  <dc:description/>
  <cp:lastModifiedBy>Shannon, Tiffany</cp:lastModifiedBy>
  <cp:revision>17</cp:revision>
  <dcterms:created xsi:type="dcterms:W3CDTF">2023-02-02T16:37:00Z</dcterms:created>
  <dcterms:modified xsi:type="dcterms:W3CDTF">2023-04-10T14:09:00Z</dcterms:modified>
</cp:coreProperties>
</file>