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0ED" w:rsidRDefault="00B270ED" w:rsidP="00B270ED">
      <w:pPr>
        <w:jc w:val="center"/>
        <w:rPr>
          <w:b/>
          <w:sz w:val="24"/>
          <w:szCs w:val="24"/>
        </w:rPr>
      </w:pPr>
      <w:r>
        <w:rPr>
          <w:b/>
          <w:sz w:val="24"/>
          <w:szCs w:val="24"/>
        </w:rPr>
        <w:t xml:space="preserve">Georgia Department of Public Health Dietetic Internship </w:t>
      </w:r>
    </w:p>
    <w:p w:rsidR="00B270ED" w:rsidRDefault="00B270ED" w:rsidP="00B270ED">
      <w:pPr>
        <w:jc w:val="center"/>
        <w:rPr>
          <w:b/>
          <w:sz w:val="24"/>
          <w:szCs w:val="24"/>
        </w:rPr>
      </w:pPr>
      <w:r>
        <w:rPr>
          <w:b/>
          <w:sz w:val="24"/>
          <w:szCs w:val="24"/>
        </w:rPr>
        <w:t xml:space="preserve">Renal Rotation Description </w:t>
      </w:r>
    </w:p>
    <w:p w:rsidR="00BF4B31" w:rsidRPr="00BF4B31" w:rsidRDefault="00BF4B31" w:rsidP="00BF4B31">
      <w:pPr>
        <w:spacing w:after="180"/>
        <w:rPr>
          <w:rFonts w:eastAsia="Times New Roman" w:cs="Times New Roman"/>
          <w:sz w:val="24"/>
          <w:szCs w:val="24"/>
        </w:rPr>
      </w:pPr>
      <w:r>
        <w:rPr>
          <w:b/>
          <w:sz w:val="24"/>
          <w:szCs w:val="24"/>
        </w:rPr>
        <w:t>Renal Rotation</w:t>
      </w:r>
      <w:r w:rsidRPr="00BF4B31">
        <w:rPr>
          <w:b/>
          <w:sz w:val="24"/>
          <w:szCs w:val="24"/>
        </w:rPr>
        <w:t xml:space="preserve">:  </w:t>
      </w:r>
      <w:r w:rsidRPr="00BF4B31">
        <w:rPr>
          <w:rFonts w:eastAsia="Times New Roman" w:cs="Times New Roman"/>
          <w:sz w:val="24"/>
          <w:szCs w:val="24"/>
        </w:rPr>
        <w:t xml:space="preserve">During the renal rotation, interns will work with the renal interdisciplinary team in the Dialysis Clinic and provide consultations and renal nutrition education to patients in the Outpatient Renal Clinic. The intern will assess, follow up with, and manage the nutritional care of patients undergoing </w:t>
      </w:r>
      <w:proofErr w:type="spellStart"/>
      <w:r w:rsidRPr="00BF4B31">
        <w:rPr>
          <w:rFonts w:eastAsia="Times New Roman" w:cs="Times New Roman"/>
          <w:sz w:val="24"/>
          <w:szCs w:val="24"/>
        </w:rPr>
        <w:t>hemodialysis</w:t>
      </w:r>
      <w:proofErr w:type="spellEnd"/>
      <w:r w:rsidRPr="00BF4B31">
        <w:rPr>
          <w:rFonts w:eastAsia="Times New Roman" w:cs="Times New Roman"/>
          <w:sz w:val="24"/>
          <w:szCs w:val="24"/>
        </w:rPr>
        <w:t>/peritoneal dialysis along with their other complex medical needs</w:t>
      </w:r>
      <w:r>
        <w:rPr>
          <w:rFonts w:eastAsia="Times New Roman" w:cs="Times New Roman"/>
          <w:sz w:val="24"/>
          <w:szCs w:val="24"/>
        </w:rPr>
        <w:t xml:space="preserve"> throughout the rotation.  </w:t>
      </w:r>
    </w:p>
    <w:p w:rsidR="00B270ED" w:rsidRDefault="00B270ED" w:rsidP="00B270ED">
      <w:pPr>
        <w:rPr>
          <w:b/>
          <w:sz w:val="24"/>
          <w:szCs w:val="24"/>
        </w:rPr>
      </w:pPr>
      <w:r>
        <w:rPr>
          <w:b/>
          <w:sz w:val="24"/>
          <w:szCs w:val="24"/>
        </w:rPr>
        <w:t xml:space="preserve">Before the rotation: </w:t>
      </w:r>
    </w:p>
    <w:p w:rsidR="00B270ED" w:rsidRPr="00A32B21" w:rsidRDefault="00B270ED" w:rsidP="00B270ED">
      <w:pPr>
        <w:autoSpaceDE w:val="0"/>
        <w:autoSpaceDN w:val="0"/>
        <w:adjustRightInd w:val="0"/>
        <w:spacing w:after="0" w:line="240" w:lineRule="auto"/>
        <w:rPr>
          <w:sz w:val="24"/>
          <w:szCs w:val="24"/>
        </w:rPr>
      </w:pPr>
      <w:r w:rsidRPr="00A32B21">
        <w:rPr>
          <w:sz w:val="24"/>
          <w:szCs w:val="24"/>
        </w:rPr>
        <w:t xml:space="preserve">Review </w:t>
      </w:r>
      <w:hyperlink r:id="rId7" w:history="1">
        <w:r w:rsidRPr="00A32B21">
          <w:rPr>
            <w:rStyle w:val="Hyperlink"/>
            <w:sz w:val="24"/>
            <w:szCs w:val="24"/>
          </w:rPr>
          <w:t>www.kidney.org</w:t>
        </w:r>
      </w:hyperlink>
      <w:r w:rsidRPr="00A32B21">
        <w:rPr>
          <w:sz w:val="24"/>
          <w:szCs w:val="24"/>
        </w:rPr>
        <w:t xml:space="preserve"> , </w:t>
      </w:r>
      <w:hyperlink r:id="rId8" w:history="1">
        <w:r w:rsidRPr="00A32B21">
          <w:rPr>
            <w:rStyle w:val="Hyperlink"/>
            <w:sz w:val="24"/>
            <w:szCs w:val="24"/>
          </w:rPr>
          <w:t>www.davita.com</w:t>
        </w:r>
      </w:hyperlink>
      <w:r w:rsidRPr="00A32B21">
        <w:rPr>
          <w:sz w:val="24"/>
          <w:szCs w:val="24"/>
        </w:rPr>
        <w:t xml:space="preserve"> , </w:t>
      </w:r>
      <w:hyperlink r:id="rId9" w:history="1">
        <w:r w:rsidRPr="00A32B21">
          <w:rPr>
            <w:rStyle w:val="Hyperlink"/>
            <w:sz w:val="24"/>
            <w:szCs w:val="24"/>
          </w:rPr>
          <w:t>www.KDIGO.org</w:t>
        </w:r>
      </w:hyperlink>
      <w:r w:rsidRPr="00A32B21">
        <w:rPr>
          <w:sz w:val="24"/>
          <w:szCs w:val="24"/>
        </w:rPr>
        <w:t xml:space="preserve"> , </w:t>
      </w:r>
      <w:hyperlink r:id="rId10" w:history="1">
        <w:r w:rsidRPr="00A32B21">
          <w:rPr>
            <w:rStyle w:val="Hyperlink"/>
            <w:sz w:val="24"/>
            <w:szCs w:val="24"/>
          </w:rPr>
          <w:t>www.eatright.org</w:t>
        </w:r>
      </w:hyperlink>
      <w:r w:rsidRPr="00A32B21">
        <w:rPr>
          <w:sz w:val="24"/>
          <w:szCs w:val="24"/>
        </w:rPr>
        <w:t xml:space="preserve"> , Nutrition and Diagnosis Related Care, Food Medication Interactions, Code of Ethics for the Profession of Dietetics, </w:t>
      </w:r>
      <w:r w:rsidRPr="00A32B21">
        <w:rPr>
          <w:rFonts w:cs="Tahoma"/>
          <w:sz w:val="24"/>
          <w:szCs w:val="24"/>
        </w:rPr>
        <w:t>Pocket Guide to Nutritional Assessment of the Patient with chronic Kidney Disease (4th Edition)</w:t>
      </w:r>
    </w:p>
    <w:p w:rsidR="00B270ED" w:rsidRDefault="00B270ED" w:rsidP="00B270ED">
      <w:pPr>
        <w:pStyle w:val="ListParagraph"/>
        <w:numPr>
          <w:ilvl w:val="0"/>
          <w:numId w:val="1"/>
        </w:numPr>
        <w:rPr>
          <w:sz w:val="24"/>
          <w:szCs w:val="24"/>
        </w:rPr>
      </w:pPr>
      <w:r>
        <w:rPr>
          <w:sz w:val="24"/>
          <w:szCs w:val="24"/>
        </w:rPr>
        <w:t>Complete the GDPH DI pre-rotation Renal Rotation Module</w:t>
      </w:r>
    </w:p>
    <w:p w:rsidR="00B270ED" w:rsidRDefault="00B270ED" w:rsidP="00B270ED">
      <w:pPr>
        <w:pStyle w:val="ListParagraph"/>
        <w:numPr>
          <w:ilvl w:val="0"/>
          <w:numId w:val="1"/>
        </w:numPr>
        <w:rPr>
          <w:sz w:val="24"/>
          <w:szCs w:val="24"/>
        </w:rPr>
      </w:pPr>
      <w:r>
        <w:rPr>
          <w:sz w:val="24"/>
          <w:szCs w:val="24"/>
        </w:rPr>
        <w:t>Contact renal rotation preceptor 2 weeks prior to rotation start date to arrange renal rotation schedule</w:t>
      </w:r>
    </w:p>
    <w:p w:rsidR="00B270ED" w:rsidRDefault="00B270ED" w:rsidP="00B270ED">
      <w:pPr>
        <w:rPr>
          <w:sz w:val="24"/>
          <w:szCs w:val="24"/>
        </w:rPr>
      </w:pPr>
      <w:r w:rsidRPr="00537B65">
        <w:rPr>
          <w:b/>
          <w:sz w:val="24"/>
          <w:szCs w:val="24"/>
        </w:rPr>
        <w:t>Length of rotation:</w:t>
      </w:r>
      <w:r>
        <w:rPr>
          <w:sz w:val="24"/>
          <w:szCs w:val="24"/>
        </w:rPr>
        <w:t xml:space="preserve"> 3 weeks (72 hours)</w:t>
      </w:r>
      <w:r>
        <w:rPr>
          <w:sz w:val="24"/>
          <w:szCs w:val="24"/>
        </w:rPr>
        <w:tab/>
      </w:r>
      <w:r>
        <w:rPr>
          <w:sz w:val="24"/>
          <w:szCs w:val="24"/>
        </w:rPr>
        <w:tab/>
      </w:r>
      <w:r w:rsidRPr="00537B65">
        <w:rPr>
          <w:b/>
          <w:sz w:val="24"/>
          <w:szCs w:val="24"/>
        </w:rPr>
        <w:t>Standard hours:</w:t>
      </w:r>
      <w:r>
        <w:rPr>
          <w:sz w:val="24"/>
          <w:szCs w:val="24"/>
        </w:rPr>
        <w:t xml:space="preserve"> TBD by rotation preceptor</w:t>
      </w:r>
    </w:p>
    <w:p w:rsidR="00B270ED" w:rsidRDefault="00B270ED" w:rsidP="00B270ED">
      <w:pPr>
        <w:rPr>
          <w:sz w:val="24"/>
          <w:szCs w:val="24"/>
        </w:rPr>
      </w:pPr>
      <w:r w:rsidRPr="00537B65">
        <w:rPr>
          <w:b/>
          <w:sz w:val="24"/>
          <w:szCs w:val="24"/>
        </w:rPr>
        <w:t xml:space="preserve">Expectations: </w:t>
      </w:r>
    </w:p>
    <w:p w:rsidR="00B270ED" w:rsidRDefault="00B270ED" w:rsidP="00B270ED">
      <w:pPr>
        <w:pStyle w:val="ListParagraph"/>
        <w:numPr>
          <w:ilvl w:val="0"/>
          <w:numId w:val="2"/>
        </w:numPr>
        <w:rPr>
          <w:sz w:val="24"/>
          <w:szCs w:val="24"/>
        </w:rPr>
      </w:pPr>
      <w:r>
        <w:rPr>
          <w:sz w:val="24"/>
          <w:szCs w:val="24"/>
        </w:rPr>
        <w:t>Interns have completed the renal rotation module entirely before the first day of the renal rotation</w:t>
      </w:r>
    </w:p>
    <w:p w:rsidR="00B270ED" w:rsidRDefault="00B270ED" w:rsidP="00B270ED">
      <w:pPr>
        <w:pStyle w:val="ListParagraph"/>
        <w:numPr>
          <w:ilvl w:val="0"/>
          <w:numId w:val="2"/>
        </w:numPr>
        <w:rPr>
          <w:sz w:val="24"/>
          <w:szCs w:val="24"/>
        </w:rPr>
      </w:pPr>
      <w:r w:rsidRPr="008971D2">
        <w:rPr>
          <w:sz w:val="24"/>
          <w:szCs w:val="24"/>
        </w:rPr>
        <w:t xml:space="preserve">Interns will meet with preceptor on the first day of rotation to discuss the preceptor/intern task list </w:t>
      </w:r>
      <w:r>
        <w:rPr>
          <w:sz w:val="24"/>
          <w:szCs w:val="24"/>
        </w:rPr>
        <w:t>and pre rotation renal module</w:t>
      </w:r>
    </w:p>
    <w:p w:rsidR="00B270ED" w:rsidRPr="008971D2" w:rsidRDefault="00B270ED" w:rsidP="00B270ED">
      <w:pPr>
        <w:pStyle w:val="ListParagraph"/>
        <w:numPr>
          <w:ilvl w:val="0"/>
          <w:numId w:val="2"/>
        </w:numPr>
        <w:rPr>
          <w:sz w:val="24"/>
          <w:szCs w:val="24"/>
        </w:rPr>
      </w:pPr>
      <w:r w:rsidRPr="008971D2">
        <w:rPr>
          <w:sz w:val="24"/>
          <w:szCs w:val="24"/>
        </w:rPr>
        <w:t>Interns will abide by all internship policies</w:t>
      </w:r>
    </w:p>
    <w:p w:rsidR="00B270ED" w:rsidRPr="00295A6F" w:rsidRDefault="00B270ED" w:rsidP="00B270ED">
      <w:pPr>
        <w:rPr>
          <w:b/>
          <w:sz w:val="24"/>
          <w:szCs w:val="24"/>
        </w:rPr>
      </w:pPr>
      <w:r w:rsidRPr="00295A6F">
        <w:rPr>
          <w:b/>
          <w:sz w:val="24"/>
          <w:szCs w:val="24"/>
        </w:rPr>
        <w:t>Resources need</w:t>
      </w:r>
      <w:r>
        <w:rPr>
          <w:b/>
          <w:sz w:val="24"/>
          <w:szCs w:val="24"/>
        </w:rPr>
        <w:t>ed</w:t>
      </w:r>
      <w:r w:rsidRPr="00295A6F">
        <w:rPr>
          <w:b/>
          <w:sz w:val="24"/>
          <w:szCs w:val="24"/>
        </w:rPr>
        <w:t xml:space="preserve"> for rotation:</w:t>
      </w:r>
    </w:p>
    <w:p w:rsidR="00B270ED" w:rsidRPr="00295A6F" w:rsidRDefault="00B270ED" w:rsidP="00B270ED">
      <w:pPr>
        <w:pStyle w:val="ListParagraph"/>
        <w:numPr>
          <w:ilvl w:val="0"/>
          <w:numId w:val="4"/>
        </w:numPr>
        <w:rPr>
          <w:sz w:val="24"/>
          <w:szCs w:val="24"/>
        </w:rPr>
      </w:pPr>
      <w:r w:rsidRPr="00295A6F">
        <w:rPr>
          <w:sz w:val="24"/>
          <w:szCs w:val="24"/>
        </w:rPr>
        <w:t xml:space="preserve">Calculator and </w:t>
      </w:r>
      <w:r>
        <w:rPr>
          <w:sz w:val="24"/>
          <w:szCs w:val="24"/>
        </w:rPr>
        <w:t>b</w:t>
      </w:r>
      <w:r w:rsidRPr="00295A6F">
        <w:rPr>
          <w:sz w:val="24"/>
          <w:szCs w:val="24"/>
        </w:rPr>
        <w:t>lack ink pen</w:t>
      </w:r>
    </w:p>
    <w:p w:rsidR="00B270ED" w:rsidRPr="00295A6F" w:rsidRDefault="00B270ED" w:rsidP="00B270ED">
      <w:pPr>
        <w:pStyle w:val="ListParagraph"/>
        <w:numPr>
          <w:ilvl w:val="0"/>
          <w:numId w:val="4"/>
        </w:numPr>
        <w:rPr>
          <w:sz w:val="24"/>
          <w:szCs w:val="24"/>
        </w:rPr>
      </w:pPr>
      <w:r w:rsidRPr="00295A6F">
        <w:rPr>
          <w:sz w:val="24"/>
          <w:szCs w:val="24"/>
        </w:rPr>
        <w:t>Food Medication Interaction Handbook</w:t>
      </w:r>
      <w:r>
        <w:rPr>
          <w:sz w:val="24"/>
          <w:szCs w:val="24"/>
        </w:rPr>
        <w:t xml:space="preserve">, </w:t>
      </w:r>
      <w:r w:rsidRPr="00295A6F">
        <w:rPr>
          <w:sz w:val="24"/>
          <w:szCs w:val="24"/>
        </w:rPr>
        <w:t>Nutrition Assessment Pocket Guide and Nutrition Care Process Pocket Guide</w:t>
      </w:r>
    </w:p>
    <w:p w:rsidR="00B270ED" w:rsidRPr="00295A6F" w:rsidRDefault="00B270ED" w:rsidP="00B270ED">
      <w:pPr>
        <w:pStyle w:val="ListParagraph"/>
        <w:numPr>
          <w:ilvl w:val="0"/>
          <w:numId w:val="4"/>
        </w:numPr>
        <w:rPr>
          <w:sz w:val="24"/>
          <w:szCs w:val="24"/>
        </w:rPr>
      </w:pPr>
      <w:r>
        <w:rPr>
          <w:sz w:val="24"/>
          <w:szCs w:val="24"/>
        </w:rPr>
        <w:t>Completed renal module</w:t>
      </w:r>
    </w:p>
    <w:p w:rsidR="00B270ED" w:rsidRPr="00477109" w:rsidRDefault="00B270ED" w:rsidP="00B270ED">
      <w:pPr>
        <w:rPr>
          <w:b/>
          <w:sz w:val="24"/>
          <w:szCs w:val="24"/>
        </w:rPr>
      </w:pPr>
      <w:r w:rsidRPr="00477109">
        <w:rPr>
          <w:b/>
          <w:sz w:val="24"/>
          <w:szCs w:val="24"/>
        </w:rPr>
        <w:t xml:space="preserve">Learning Objectives: </w:t>
      </w:r>
    </w:p>
    <w:p w:rsidR="00B270ED" w:rsidRDefault="00B270ED" w:rsidP="00B270ED">
      <w:pPr>
        <w:pStyle w:val="ListParagraph"/>
        <w:numPr>
          <w:ilvl w:val="0"/>
          <w:numId w:val="3"/>
        </w:numPr>
        <w:rPr>
          <w:sz w:val="24"/>
          <w:szCs w:val="24"/>
        </w:rPr>
      </w:pPr>
      <w:r>
        <w:rPr>
          <w:sz w:val="24"/>
          <w:szCs w:val="24"/>
        </w:rPr>
        <w:t>The intern will be able to review monthly lab results of clients on dialysis therapy,  recognize outlier results, discuss physiological implications of abnormal labs, and make dietary recommendations for change to improve lab results</w:t>
      </w:r>
    </w:p>
    <w:p w:rsidR="00B270ED" w:rsidRDefault="00B270ED" w:rsidP="00B270ED">
      <w:pPr>
        <w:pStyle w:val="ListParagraph"/>
        <w:numPr>
          <w:ilvl w:val="0"/>
          <w:numId w:val="3"/>
        </w:numPr>
        <w:rPr>
          <w:sz w:val="24"/>
          <w:szCs w:val="24"/>
        </w:rPr>
      </w:pPr>
      <w:r>
        <w:rPr>
          <w:sz w:val="24"/>
          <w:szCs w:val="24"/>
        </w:rPr>
        <w:lastRenderedPageBreak/>
        <w:t>The intern will be able to plan and present nutrition education appropriately to dialysis clients</w:t>
      </w:r>
    </w:p>
    <w:p w:rsidR="00B270ED" w:rsidRDefault="00B270ED" w:rsidP="00B270ED">
      <w:pPr>
        <w:pStyle w:val="ListParagraph"/>
        <w:numPr>
          <w:ilvl w:val="0"/>
          <w:numId w:val="3"/>
        </w:numPr>
        <w:rPr>
          <w:sz w:val="24"/>
          <w:szCs w:val="24"/>
        </w:rPr>
      </w:pPr>
      <w:r>
        <w:rPr>
          <w:sz w:val="24"/>
          <w:szCs w:val="24"/>
        </w:rPr>
        <w:t>Interns will be able to participate in the interdisciplinary care and recognize and demonstrate the role of the RD in the care of the dialysis client to include referral as needed to other care providers</w:t>
      </w:r>
    </w:p>
    <w:p w:rsidR="00B270ED" w:rsidRDefault="00B270ED" w:rsidP="00B270ED">
      <w:pPr>
        <w:pStyle w:val="ListParagraph"/>
        <w:numPr>
          <w:ilvl w:val="0"/>
          <w:numId w:val="3"/>
        </w:numPr>
        <w:rPr>
          <w:sz w:val="24"/>
          <w:szCs w:val="24"/>
        </w:rPr>
      </w:pPr>
      <w:r>
        <w:rPr>
          <w:sz w:val="24"/>
          <w:szCs w:val="24"/>
        </w:rPr>
        <w:t>Interns will be able to use medical information and client interview to complete thorough nutrition assessments of dialysis clients</w:t>
      </w:r>
    </w:p>
    <w:p w:rsidR="00B270ED" w:rsidRDefault="00B270ED" w:rsidP="00B270ED">
      <w:pPr>
        <w:pStyle w:val="ListParagraph"/>
        <w:numPr>
          <w:ilvl w:val="0"/>
          <w:numId w:val="3"/>
        </w:numPr>
        <w:rPr>
          <w:sz w:val="24"/>
          <w:szCs w:val="24"/>
        </w:rPr>
      </w:pPr>
      <w:r>
        <w:rPr>
          <w:sz w:val="24"/>
          <w:szCs w:val="24"/>
        </w:rPr>
        <w:t>Interns will be able to appropriately document a plan of care for dialysis clients</w:t>
      </w:r>
    </w:p>
    <w:p w:rsidR="00B270ED" w:rsidRDefault="00B270ED" w:rsidP="00B270ED">
      <w:pPr>
        <w:pStyle w:val="ListParagraph"/>
        <w:numPr>
          <w:ilvl w:val="0"/>
          <w:numId w:val="3"/>
        </w:numPr>
        <w:rPr>
          <w:sz w:val="24"/>
          <w:szCs w:val="24"/>
        </w:rPr>
      </w:pPr>
      <w:r>
        <w:rPr>
          <w:sz w:val="24"/>
          <w:szCs w:val="24"/>
        </w:rPr>
        <w:t>Interns will be able to research and apply evidence based guidelines on emerging issues in dialysis treatment</w:t>
      </w:r>
    </w:p>
    <w:p w:rsidR="00B270ED" w:rsidRPr="008971D2" w:rsidRDefault="00B270ED" w:rsidP="00B270ED">
      <w:pPr>
        <w:pStyle w:val="ListParagraph"/>
        <w:numPr>
          <w:ilvl w:val="0"/>
          <w:numId w:val="3"/>
        </w:numPr>
        <w:rPr>
          <w:sz w:val="24"/>
          <w:szCs w:val="24"/>
        </w:rPr>
      </w:pPr>
      <w:r>
        <w:rPr>
          <w:sz w:val="24"/>
          <w:szCs w:val="24"/>
        </w:rPr>
        <w:t>Interns will be able to document and present, in approved case study format, a dialysis client case study</w:t>
      </w:r>
    </w:p>
    <w:p w:rsidR="00B270ED" w:rsidRPr="00477109" w:rsidRDefault="00B270ED" w:rsidP="00B270ED">
      <w:pPr>
        <w:rPr>
          <w:b/>
          <w:sz w:val="24"/>
          <w:szCs w:val="24"/>
        </w:rPr>
      </w:pPr>
      <w:r w:rsidRPr="00477109">
        <w:rPr>
          <w:b/>
          <w:sz w:val="24"/>
          <w:szCs w:val="24"/>
        </w:rPr>
        <w:t xml:space="preserve">Competencies: </w:t>
      </w:r>
    </w:p>
    <w:p w:rsidR="00B270ED" w:rsidRDefault="00B270ED" w:rsidP="00B270ED">
      <w:pPr>
        <w:pStyle w:val="ListParagraph"/>
        <w:numPr>
          <w:ilvl w:val="0"/>
          <w:numId w:val="5"/>
        </w:numPr>
        <w:rPr>
          <w:sz w:val="24"/>
          <w:szCs w:val="24"/>
        </w:rPr>
      </w:pPr>
      <w:r>
        <w:rPr>
          <w:sz w:val="24"/>
          <w:szCs w:val="24"/>
        </w:rPr>
        <w:t>CRD 1.1:  Select indicators of program quality and/or customer service and measure achievement objectives</w:t>
      </w:r>
    </w:p>
    <w:p w:rsidR="00B270ED" w:rsidRDefault="00B270ED" w:rsidP="00B270ED">
      <w:pPr>
        <w:pStyle w:val="ListParagraph"/>
        <w:numPr>
          <w:ilvl w:val="0"/>
          <w:numId w:val="5"/>
        </w:numPr>
        <w:rPr>
          <w:sz w:val="24"/>
          <w:szCs w:val="24"/>
        </w:rPr>
      </w:pPr>
      <w:r>
        <w:rPr>
          <w:sz w:val="24"/>
          <w:szCs w:val="24"/>
        </w:rPr>
        <w:t>CRD 1.3:   Justify programs, products, services and care using appropriate evidence or data</w:t>
      </w:r>
    </w:p>
    <w:p w:rsidR="00B270ED" w:rsidRDefault="00B270ED" w:rsidP="00B270ED">
      <w:pPr>
        <w:pStyle w:val="ListParagraph"/>
        <w:numPr>
          <w:ilvl w:val="0"/>
          <w:numId w:val="5"/>
        </w:numPr>
        <w:rPr>
          <w:sz w:val="24"/>
          <w:szCs w:val="24"/>
        </w:rPr>
      </w:pPr>
      <w:r>
        <w:rPr>
          <w:sz w:val="24"/>
          <w:szCs w:val="24"/>
        </w:rPr>
        <w:t>CRD 2.1:  Practice in compliance with current federal regulations and state statutes and rules, as applicable and in accordance with accreditation standards and the Scope of Dietetics Practice and Code of Ethics for the Profession of Dietetics</w:t>
      </w:r>
    </w:p>
    <w:p w:rsidR="00B270ED" w:rsidRDefault="00B270ED" w:rsidP="00B270ED">
      <w:pPr>
        <w:pStyle w:val="ListParagraph"/>
        <w:numPr>
          <w:ilvl w:val="0"/>
          <w:numId w:val="5"/>
        </w:numPr>
        <w:rPr>
          <w:sz w:val="24"/>
          <w:szCs w:val="24"/>
        </w:rPr>
      </w:pPr>
      <w:r>
        <w:rPr>
          <w:sz w:val="24"/>
          <w:szCs w:val="24"/>
        </w:rPr>
        <w:t>CRD 2.2:  Demonstrate professional writing skills in preparing professional communications</w:t>
      </w:r>
    </w:p>
    <w:p w:rsidR="00B270ED" w:rsidRDefault="00B270ED" w:rsidP="00B270ED">
      <w:pPr>
        <w:pStyle w:val="ListParagraph"/>
        <w:numPr>
          <w:ilvl w:val="0"/>
          <w:numId w:val="5"/>
        </w:numPr>
        <w:rPr>
          <w:sz w:val="24"/>
          <w:szCs w:val="24"/>
        </w:rPr>
      </w:pPr>
      <w:r>
        <w:rPr>
          <w:sz w:val="24"/>
          <w:szCs w:val="24"/>
        </w:rPr>
        <w:t>CRD 2.3:  Design, implement, and evaluate presentations to a target audience</w:t>
      </w:r>
    </w:p>
    <w:p w:rsidR="00B270ED" w:rsidRDefault="00B270ED" w:rsidP="00B270ED">
      <w:pPr>
        <w:pStyle w:val="ListParagraph"/>
        <w:numPr>
          <w:ilvl w:val="0"/>
          <w:numId w:val="5"/>
        </w:numPr>
        <w:rPr>
          <w:sz w:val="24"/>
          <w:szCs w:val="24"/>
        </w:rPr>
      </w:pPr>
      <w:r>
        <w:rPr>
          <w:sz w:val="24"/>
          <w:szCs w:val="24"/>
        </w:rPr>
        <w:t>CRD 2.4:  Use effective education and counseling skills to facilitate behavior change</w:t>
      </w:r>
    </w:p>
    <w:p w:rsidR="00B270ED" w:rsidRDefault="00B270ED" w:rsidP="00B270ED">
      <w:pPr>
        <w:pStyle w:val="ListParagraph"/>
        <w:numPr>
          <w:ilvl w:val="0"/>
          <w:numId w:val="5"/>
        </w:numPr>
        <w:rPr>
          <w:sz w:val="24"/>
          <w:szCs w:val="24"/>
        </w:rPr>
      </w:pPr>
      <w:r>
        <w:rPr>
          <w:sz w:val="24"/>
          <w:szCs w:val="24"/>
        </w:rPr>
        <w:t>CRD 2.5:  Demonstrate active participation, teamwork, and contributions in group settings</w:t>
      </w:r>
    </w:p>
    <w:p w:rsidR="00B270ED" w:rsidRDefault="00B270ED" w:rsidP="00B270ED">
      <w:pPr>
        <w:pStyle w:val="ListParagraph"/>
        <w:numPr>
          <w:ilvl w:val="0"/>
          <w:numId w:val="5"/>
        </w:numPr>
        <w:rPr>
          <w:sz w:val="24"/>
          <w:szCs w:val="24"/>
        </w:rPr>
      </w:pPr>
      <w:r>
        <w:rPr>
          <w:sz w:val="24"/>
          <w:szCs w:val="24"/>
        </w:rPr>
        <w:t>CRD 2.6:  Assign patient care activities to DTRs and support personnel as appropriate</w:t>
      </w:r>
    </w:p>
    <w:p w:rsidR="00B270ED" w:rsidRDefault="00B270ED" w:rsidP="00B270ED">
      <w:pPr>
        <w:pStyle w:val="ListParagraph"/>
        <w:numPr>
          <w:ilvl w:val="0"/>
          <w:numId w:val="5"/>
        </w:numPr>
        <w:rPr>
          <w:sz w:val="24"/>
          <w:szCs w:val="24"/>
        </w:rPr>
      </w:pPr>
      <w:r>
        <w:rPr>
          <w:sz w:val="24"/>
          <w:szCs w:val="24"/>
        </w:rPr>
        <w:t>CRD 2.7:  Refer clients and patients to other professionals and services when needs are beyond individual scope of practice</w:t>
      </w:r>
    </w:p>
    <w:p w:rsidR="00B270ED" w:rsidRDefault="00B270ED" w:rsidP="00B270ED">
      <w:pPr>
        <w:pStyle w:val="ListParagraph"/>
        <w:numPr>
          <w:ilvl w:val="0"/>
          <w:numId w:val="5"/>
        </w:numPr>
        <w:rPr>
          <w:sz w:val="24"/>
          <w:szCs w:val="24"/>
        </w:rPr>
      </w:pPr>
      <w:r>
        <w:rPr>
          <w:sz w:val="24"/>
          <w:szCs w:val="24"/>
        </w:rPr>
        <w:t>CRD 2.10:  Establish collaborative relationships with other health professionals and support personnel to deliver effective nutrition services</w:t>
      </w:r>
    </w:p>
    <w:p w:rsidR="00B270ED" w:rsidRDefault="00B270ED" w:rsidP="00B270ED">
      <w:pPr>
        <w:pStyle w:val="ListParagraph"/>
        <w:numPr>
          <w:ilvl w:val="0"/>
          <w:numId w:val="5"/>
        </w:numPr>
        <w:rPr>
          <w:sz w:val="24"/>
          <w:szCs w:val="24"/>
        </w:rPr>
      </w:pPr>
      <w:r>
        <w:rPr>
          <w:sz w:val="24"/>
          <w:szCs w:val="24"/>
        </w:rPr>
        <w:t>CRD 2.11:  Demonstrate professional attributes within various organizational cultures</w:t>
      </w:r>
    </w:p>
    <w:p w:rsidR="00B270ED" w:rsidRDefault="00B270ED" w:rsidP="00B270ED">
      <w:pPr>
        <w:pStyle w:val="ListParagraph"/>
        <w:numPr>
          <w:ilvl w:val="0"/>
          <w:numId w:val="5"/>
        </w:numPr>
        <w:rPr>
          <w:sz w:val="24"/>
          <w:szCs w:val="24"/>
        </w:rPr>
      </w:pPr>
      <w:r>
        <w:rPr>
          <w:sz w:val="24"/>
          <w:szCs w:val="24"/>
        </w:rPr>
        <w:t>CRD 2.13:  Demonstrate negotiation skills</w:t>
      </w:r>
    </w:p>
    <w:p w:rsidR="00B270ED" w:rsidRDefault="00B270ED" w:rsidP="00B270ED">
      <w:pPr>
        <w:pStyle w:val="ListParagraph"/>
        <w:numPr>
          <w:ilvl w:val="0"/>
          <w:numId w:val="5"/>
        </w:numPr>
        <w:rPr>
          <w:sz w:val="24"/>
          <w:szCs w:val="24"/>
        </w:rPr>
      </w:pPr>
      <w:r>
        <w:rPr>
          <w:sz w:val="24"/>
          <w:szCs w:val="24"/>
        </w:rPr>
        <w:t>CRD 3.1:  Perform the Nutrition Care Process (a through e below) and use standardized nutrition language for individuals, groups and populations of differing ages and health status, in a variety of settings</w:t>
      </w:r>
    </w:p>
    <w:p w:rsidR="00B270ED" w:rsidRDefault="00B270ED" w:rsidP="00B270ED">
      <w:pPr>
        <w:pStyle w:val="ListParagraph"/>
        <w:numPr>
          <w:ilvl w:val="1"/>
          <w:numId w:val="5"/>
        </w:numPr>
        <w:rPr>
          <w:sz w:val="24"/>
          <w:szCs w:val="24"/>
        </w:rPr>
      </w:pPr>
      <w:r>
        <w:rPr>
          <w:sz w:val="24"/>
          <w:szCs w:val="24"/>
        </w:rPr>
        <w:lastRenderedPageBreak/>
        <w:t>Assess the nutritional status of individuals, groups, and populations in a variety of settings where nutrition care is or can be delivered</w:t>
      </w:r>
    </w:p>
    <w:p w:rsidR="00B270ED" w:rsidRDefault="00B270ED" w:rsidP="00B270ED">
      <w:pPr>
        <w:pStyle w:val="ListParagraph"/>
        <w:numPr>
          <w:ilvl w:val="1"/>
          <w:numId w:val="5"/>
        </w:numPr>
        <w:rPr>
          <w:sz w:val="24"/>
          <w:szCs w:val="24"/>
        </w:rPr>
      </w:pPr>
      <w:r>
        <w:rPr>
          <w:sz w:val="24"/>
          <w:szCs w:val="24"/>
        </w:rPr>
        <w:t>Diagnose nutrition problems and create problem, etiology, signs and symptoms (PES) statements</w:t>
      </w:r>
    </w:p>
    <w:p w:rsidR="00B270ED" w:rsidRDefault="00B270ED" w:rsidP="00B270ED">
      <w:pPr>
        <w:pStyle w:val="ListParagraph"/>
        <w:numPr>
          <w:ilvl w:val="1"/>
          <w:numId w:val="5"/>
        </w:numPr>
        <w:rPr>
          <w:sz w:val="24"/>
          <w:szCs w:val="24"/>
        </w:rPr>
      </w:pPr>
      <w:r>
        <w:rPr>
          <w:sz w:val="24"/>
          <w:szCs w:val="24"/>
        </w:rPr>
        <w:t>Plan and implement nutrition interventions to include prioritizing the nutrition diagnosis</w:t>
      </w:r>
    </w:p>
    <w:p w:rsidR="00B270ED" w:rsidRDefault="00B270ED" w:rsidP="00B270ED">
      <w:pPr>
        <w:pStyle w:val="ListParagraph"/>
        <w:numPr>
          <w:ilvl w:val="1"/>
          <w:numId w:val="5"/>
        </w:numPr>
        <w:rPr>
          <w:sz w:val="24"/>
          <w:szCs w:val="24"/>
        </w:rPr>
      </w:pPr>
      <w:r>
        <w:rPr>
          <w:sz w:val="24"/>
          <w:szCs w:val="24"/>
        </w:rPr>
        <w:t>Monitor and evaluate problems, etiologies, signs, symptoms, and the impact of interventions on the nutrition diagnosis</w:t>
      </w:r>
    </w:p>
    <w:p w:rsidR="00B270ED" w:rsidRDefault="00B270ED" w:rsidP="00B270ED">
      <w:pPr>
        <w:pStyle w:val="ListParagraph"/>
        <w:numPr>
          <w:ilvl w:val="1"/>
          <w:numId w:val="5"/>
        </w:numPr>
        <w:rPr>
          <w:sz w:val="24"/>
          <w:szCs w:val="24"/>
        </w:rPr>
      </w:pPr>
      <w:r>
        <w:rPr>
          <w:sz w:val="24"/>
          <w:szCs w:val="24"/>
        </w:rPr>
        <w:t>Complete documentation that follows professional guidelines, guidelines required by the health care systems and guidelines required by the practice setting</w:t>
      </w:r>
    </w:p>
    <w:p w:rsidR="00B270ED" w:rsidRDefault="00B270ED" w:rsidP="00B270ED">
      <w:pPr>
        <w:pStyle w:val="ListParagraph"/>
        <w:numPr>
          <w:ilvl w:val="0"/>
          <w:numId w:val="5"/>
        </w:numPr>
        <w:rPr>
          <w:sz w:val="24"/>
          <w:szCs w:val="24"/>
        </w:rPr>
      </w:pPr>
      <w:r>
        <w:rPr>
          <w:sz w:val="24"/>
          <w:szCs w:val="24"/>
        </w:rPr>
        <w:t>CRD 3.2:  Demonstrate effective communication skills for clinical and customer services in a variety of formats</w:t>
      </w:r>
    </w:p>
    <w:p w:rsidR="00B270ED" w:rsidRDefault="00B270ED" w:rsidP="00B270ED">
      <w:pPr>
        <w:pStyle w:val="ListParagraph"/>
        <w:numPr>
          <w:ilvl w:val="0"/>
          <w:numId w:val="5"/>
        </w:numPr>
        <w:rPr>
          <w:sz w:val="24"/>
          <w:szCs w:val="24"/>
        </w:rPr>
      </w:pPr>
      <w:r>
        <w:rPr>
          <w:sz w:val="24"/>
          <w:szCs w:val="24"/>
        </w:rPr>
        <w:t>CRD 4.4:  Conduct clinical and customer service quality management activities</w:t>
      </w:r>
    </w:p>
    <w:p w:rsidR="00B270ED" w:rsidRDefault="00B270ED" w:rsidP="00B270ED">
      <w:pPr>
        <w:spacing w:line="240" w:lineRule="auto"/>
      </w:pPr>
      <w:r w:rsidRPr="006A7AA3">
        <w:rPr>
          <w:b/>
        </w:rPr>
        <w:t xml:space="preserve">After the rotation: </w:t>
      </w:r>
    </w:p>
    <w:p w:rsidR="00B270ED" w:rsidRPr="006C0095" w:rsidRDefault="00B270ED" w:rsidP="00B270ED">
      <w:pPr>
        <w:pStyle w:val="ListParagraph"/>
        <w:numPr>
          <w:ilvl w:val="0"/>
          <w:numId w:val="6"/>
        </w:numPr>
        <w:spacing w:line="240" w:lineRule="auto"/>
        <w:rPr>
          <w:sz w:val="24"/>
          <w:szCs w:val="24"/>
        </w:rPr>
      </w:pPr>
      <w:r w:rsidRPr="006C0095">
        <w:rPr>
          <w:sz w:val="24"/>
          <w:szCs w:val="24"/>
        </w:rPr>
        <w:t>Submit electronically to DI Program Director</w:t>
      </w:r>
    </w:p>
    <w:p w:rsidR="00B270ED" w:rsidRPr="006C0095" w:rsidRDefault="00B270ED" w:rsidP="00B270ED">
      <w:pPr>
        <w:pStyle w:val="ListParagraph"/>
        <w:numPr>
          <w:ilvl w:val="1"/>
          <w:numId w:val="6"/>
        </w:numPr>
        <w:spacing w:line="240" w:lineRule="auto"/>
        <w:rPr>
          <w:sz w:val="24"/>
          <w:szCs w:val="24"/>
        </w:rPr>
      </w:pPr>
      <w:r w:rsidRPr="006C0095">
        <w:rPr>
          <w:sz w:val="24"/>
          <w:szCs w:val="24"/>
        </w:rPr>
        <w:t xml:space="preserve">Completed </w:t>
      </w:r>
      <w:r w:rsidR="00E250FE">
        <w:rPr>
          <w:sz w:val="24"/>
          <w:szCs w:val="24"/>
        </w:rPr>
        <w:t xml:space="preserve">pre-rotation </w:t>
      </w:r>
      <w:r w:rsidRPr="006C0095">
        <w:rPr>
          <w:sz w:val="24"/>
          <w:szCs w:val="24"/>
        </w:rPr>
        <w:t>renal module</w:t>
      </w:r>
    </w:p>
    <w:p w:rsidR="00B270ED" w:rsidRPr="006C0095" w:rsidRDefault="00B270ED" w:rsidP="00B270ED">
      <w:pPr>
        <w:pStyle w:val="ListParagraph"/>
        <w:numPr>
          <w:ilvl w:val="1"/>
          <w:numId w:val="6"/>
        </w:numPr>
        <w:spacing w:line="240" w:lineRule="auto"/>
        <w:rPr>
          <w:sz w:val="24"/>
          <w:szCs w:val="24"/>
        </w:rPr>
      </w:pPr>
      <w:r w:rsidRPr="006C0095">
        <w:rPr>
          <w:sz w:val="24"/>
          <w:szCs w:val="24"/>
        </w:rPr>
        <w:t>Signed and dated renal rotation orientation check list</w:t>
      </w:r>
    </w:p>
    <w:p w:rsidR="00B270ED" w:rsidRPr="006C0095" w:rsidRDefault="00B270ED" w:rsidP="00B270ED">
      <w:pPr>
        <w:pStyle w:val="ListParagraph"/>
        <w:numPr>
          <w:ilvl w:val="1"/>
          <w:numId w:val="6"/>
        </w:numPr>
        <w:spacing w:line="240" w:lineRule="auto"/>
        <w:rPr>
          <w:sz w:val="24"/>
          <w:szCs w:val="24"/>
        </w:rPr>
      </w:pPr>
      <w:r w:rsidRPr="006C0095">
        <w:rPr>
          <w:sz w:val="24"/>
          <w:szCs w:val="24"/>
        </w:rPr>
        <w:t xml:space="preserve">Completed signed and dated </w:t>
      </w:r>
      <w:r w:rsidR="00CF7454">
        <w:rPr>
          <w:sz w:val="24"/>
          <w:szCs w:val="24"/>
        </w:rPr>
        <w:t xml:space="preserve">renal </w:t>
      </w:r>
      <w:r w:rsidRPr="006C0095">
        <w:rPr>
          <w:sz w:val="24"/>
          <w:szCs w:val="24"/>
        </w:rPr>
        <w:t>rotation goals and reflections form</w:t>
      </w:r>
    </w:p>
    <w:p w:rsidR="00B270ED" w:rsidRPr="006C0095" w:rsidRDefault="00B270ED" w:rsidP="00B270ED">
      <w:pPr>
        <w:pStyle w:val="ListParagraph"/>
        <w:numPr>
          <w:ilvl w:val="1"/>
          <w:numId w:val="6"/>
        </w:numPr>
        <w:spacing w:line="240" w:lineRule="auto"/>
        <w:rPr>
          <w:sz w:val="24"/>
          <w:szCs w:val="24"/>
        </w:rPr>
      </w:pPr>
      <w:r w:rsidRPr="006C0095">
        <w:rPr>
          <w:sz w:val="24"/>
          <w:szCs w:val="24"/>
        </w:rPr>
        <w:t xml:space="preserve">All signed and dated activity logs for the entire </w:t>
      </w:r>
      <w:r w:rsidR="00CF7454">
        <w:rPr>
          <w:sz w:val="24"/>
          <w:szCs w:val="24"/>
        </w:rPr>
        <w:t xml:space="preserve">renal </w:t>
      </w:r>
      <w:r w:rsidRPr="006C0095">
        <w:rPr>
          <w:sz w:val="24"/>
          <w:szCs w:val="24"/>
        </w:rPr>
        <w:t xml:space="preserve">rotation </w:t>
      </w:r>
    </w:p>
    <w:p w:rsidR="00B270ED" w:rsidRPr="006C0095" w:rsidRDefault="00B270ED" w:rsidP="00B270ED">
      <w:pPr>
        <w:pStyle w:val="ListParagraph"/>
        <w:numPr>
          <w:ilvl w:val="1"/>
          <w:numId w:val="6"/>
        </w:numPr>
        <w:spacing w:line="240" w:lineRule="auto"/>
        <w:rPr>
          <w:sz w:val="24"/>
          <w:szCs w:val="24"/>
        </w:rPr>
      </w:pPr>
      <w:r w:rsidRPr="006C0095">
        <w:rPr>
          <w:sz w:val="24"/>
          <w:szCs w:val="24"/>
        </w:rPr>
        <w:t xml:space="preserve">Completed, signed and dated </w:t>
      </w:r>
      <w:r w:rsidR="00CF7454">
        <w:rPr>
          <w:sz w:val="24"/>
          <w:szCs w:val="24"/>
        </w:rPr>
        <w:t xml:space="preserve">renal </w:t>
      </w:r>
      <w:r w:rsidRPr="006C0095">
        <w:rPr>
          <w:sz w:val="24"/>
          <w:szCs w:val="24"/>
        </w:rPr>
        <w:t>rotation hours summary form</w:t>
      </w:r>
    </w:p>
    <w:p w:rsidR="00B270ED" w:rsidRPr="006C0095" w:rsidRDefault="00B270ED" w:rsidP="00B270ED">
      <w:pPr>
        <w:pStyle w:val="ListParagraph"/>
        <w:numPr>
          <w:ilvl w:val="1"/>
          <w:numId w:val="6"/>
        </w:numPr>
        <w:spacing w:line="240" w:lineRule="auto"/>
        <w:rPr>
          <w:sz w:val="24"/>
          <w:szCs w:val="24"/>
        </w:rPr>
      </w:pPr>
      <w:r w:rsidRPr="006C0095">
        <w:rPr>
          <w:sz w:val="24"/>
          <w:szCs w:val="24"/>
        </w:rPr>
        <w:t xml:space="preserve">Completed, graded and signed </w:t>
      </w:r>
      <w:r w:rsidR="00CF7454">
        <w:rPr>
          <w:sz w:val="24"/>
          <w:szCs w:val="24"/>
        </w:rPr>
        <w:t xml:space="preserve">renal rotation </w:t>
      </w:r>
      <w:r w:rsidRPr="006C0095">
        <w:rPr>
          <w:sz w:val="24"/>
          <w:szCs w:val="24"/>
        </w:rPr>
        <w:t>chart audit tool, written report and grading rubric</w:t>
      </w:r>
    </w:p>
    <w:p w:rsidR="00B270ED" w:rsidRPr="006C0095" w:rsidRDefault="00B270ED" w:rsidP="00B270ED">
      <w:pPr>
        <w:pStyle w:val="ListParagraph"/>
        <w:numPr>
          <w:ilvl w:val="1"/>
          <w:numId w:val="6"/>
        </w:numPr>
        <w:spacing w:line="240" w:lineRule="auto"/>
        <w:rPr>
          <w:sz w:val="24"/>
          <w:szCs w:val="24"/>
        </w:rPr>
      </w:pPr>
      <w:r w:rsidRPr="006C0095">
        <w:rPr>
          <w:sz w:val="24"/>
          <w:szCs w:val="24"/>
        </w:rPr>
        <w:t>Completed , graded and signed</w:t>
      </w:r>
      <w:r w:rsidR="00CF7454">
        <w:rPr>
          <w:sz w:val="24"/>
          <w:szCs w:val="24"/>
        </w:rPr>
        <w:t xml:space="preserve"> renal rotation</w:t>
      </w:r>
      <w:r w:rsidRPr="006C0095">
        <w:rPr>
          <w:sz w:val="24"/>
          <w:szCs w:val="24"/>
        </w:rPr>
        <w:t xml:space="preserve"> interviewing and counseling evaluation form for each satisfactory session along with the nutrition counseling self evaluation form for each satisfactory session</w:t>
      </w:r>
    </w:p>
    <w:p w:rsidR="00B270ED" w:rsidRPr="006C0095" w:rsidRDefault="00B270ED" w:rsidP="00B270ED">
      <w:pPr>
        <w:pStyle w:val="ListParagraph"/>
        <w:numPr>
          <w:ilvl w:val="1"/>
          <w:numId w:val="6"/>
        </w:numPr>
        <w:spacing w:line="240" w:lineRule="auto"/>
        <w:rPr>
          <w:sz w:val="24"/>
          <w:szCs w:val="24"/>
        </w:rPr>
      </w:pPr>
      <w:r w:rsidRPr="006C0095">
        <w:rPr>
          <w:sz w:val="24"/>
          <w:szCs w:val="24"/>
        </w:rPr>
        <w:t xml:space="preserve"> Written summaries of interdisciplinary care team meetings  </w:t>
      </w:r>
    </w:p>
    <w:p w:rsidR="00B270ED" w:rsidRPr="006C0095" w:rsidRDefault="00B270ED" w:rsidP="00B270ED">
      <w:pPr>
        <w:pStyle w:val="ListParagraph"/>
        <w:numPr>
          <w:ilvl w:val="1"/>
          <w:numId w:val="6"/>
        </w:numPr>
        <w:spacing w:line="240" w:lineRule="auto"/>
        <w:rPr>
          <w:sz w:val="24"/>
          <w:szCs w:val="24"/>
        </w:rPr>
      </w:pPr>
      <w:r w:rsidRPr="006C0095">
        <w:rPr>
          <w:sz w:val="24"/>
          <w:szCs w:val="24"/>
        </w:rPr>
        <w:t>Copy of each passing assessment (with client identifiers removed), along with a copy of each grading rubric completed, signed and dated</w:t>
      </w:r>
    </w:p>
    <w:p w:rsidR="00B270ED" w:rsidRPr="006C0095" w:rsidRDefault="00B270ED" w:rsidP="00B270ED">
      <w:pPr>
        <w:pStyle w:val="ListParagraph"/>
        <w:numPr>
          <w:ilvl w:val="1"/>
          <w:numId w:val="6"/>
        </w:numPr>
        <w:spacing w:line="240" w:lineRule="auto"/>
        <w:rPr>
          <w:sz w:val="24"/>
          <w:szCs w:val="24"/>
        </w:rPr>
      </w:pPr>
      <w:r w:rsidRPr="006C0095">
        <w:rPr>
          <w:sz w:val="24"/>
          <w:szCs w:val="24"/>
        </w:rPr>
        <w:t>Copy of the typed case study and the completed and signed case study guideline form</w:t>
      </w:r>
    </w:p>
    <w:p w:rsidR="00B270ED" w:rsidRPr="006C0095" w:rsidRDefault="00B270ED" w:rsidP="00B270ED">
      <w:pPr>
        <w:pStyle w:val="ListParagraph"/>
        <w:numPr>
          <w:ilvl w:val="1"/>
          <w:numId w:val="6"/>
        </w:numPr>
        <w:spacing w:line="240" w:lineRule="auto"/>
        <w:rPr>
          <w:sz w:val="24"/>
          <w:szCs w:val="24"/>
        </w:rPr>
      </w:pPr>
      <w:r w:rsidRPr="006C0095">
        <w:rPr>
          <w:sz w:val="24"/>
          <w:szCs w:val="24"/>
        </w:rPr>
        <w:t>Completed, dated, and signed renal rotation final evaluation form</w:t>
      </w:r>
    </w:p>
    <w:p w:rsidR="00B270ED" w:rsidRDefault="00B270ED" w:rsidP="00B270ED">
      <w:pPr>
        <w:rPr>
          <w:b/>
        </w:rPr>
      </w:pPr>
    </w:p>
    <w:p w:rsidR="00D4325E" w:rsidRDefault="00D4325E"/>
    <w:sectPr w:rsidR="00D4325E" w:rsidSect="00D4325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14A" w:rsidRDefault="002D014A" w:rsidP="00B270ED">
      <w:pPr>
        <w:spacing w:after="0" w:line="240" w:lineRule="auto"/>
      </w:pPr>
      <w:r>
        <w:separator/>
      </w:r>
    </w:p>
  </w:endnote>
  <w:endnote w:type="continuationSeparator" w:id="0">
    <w:p w:rsidR="002D014A" w:rsidRDefault="002D014A" w:rsidP="00B27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0ED" w:rsidRDefault="00B270ED" w:rsidP="00B270ED">
    <w:pPr>
      <w:pStyle w:val="Footer"/>
      <w:jc w:val="right"/>
    </w:pPr>
    <w:r w:rsidRPr="00B270ED">
      <w:rPr>
        <w:noProof/>
      </w:rPr>
      <w:drawing>
        <wp:inline distT="0" distB="0" distL="0" distR="0">
          <wp:extent cx="1269832" cy="500332"/>
          <wp:effectExtent l="19050" t="0" r="6518" b="0"/>
          <wp:docPr id="4" name="Picture 1" descr="C:\Documents and Settings\rrlandrum\Desktop\DPH_LogoRed_Black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rlandrum\Desktop\DPH_LogoRed_BlackTagline.jpg"/>
                  <pic:cNvPicPr>
                    <a:picLocks noChangeAspect="1" noChangeArrowheads="1"/>
                  </pic:cNvPicPr>
                </pic:nvPicPr>
                <pic:blipFill>
                  <a:blip r:embed="rId1"/>
                  <a:srcRect/>
                  <a:stretch>
                    <a:fillRect/>
                  </a:stretch>
                </pic:blipFill>
                <pic:spPr bwMode="auto">
                  <a:xfrm>
                    <a:off x="0" y="0"/>
                    <a:ext cx="1279155" cy="50400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14A" w:rsidRDefault="002D014A" w:rsidP="00B270ED">
      <w:pPr>
        <w:spacing w:after="0" w:line="240" w:lineRule="auto"/>
      </w:pPr>
      <w:r>
        <w:separator/>
      </w:r>
    </w:p>
  </w:footnote>
  <w:footnote w:type="continuationSeparator" w:id="0">
    <w:p w:rsidR="002D014A" w:rsidRDefault="002D014A" w:rsidP="00B27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0ED" w:rsidRDefault="00B270ED">
    <w:pPr>
      <w:pStyle w:val="Header"/>
    </w:pPr>
    <w:r w:rsidRPr="00B270ED">
      <w:rPr>
        <w:noProof/>
      </w:rPr>
      <w:drawing>
        <wp:inline distT="0" distB="0" distL="0" distR="0">
          <wp:extent cx="1508051" cy="638355"/>
          <wp:effectExtent l="19050" t="0" r="0" b="0"/>
          <wp:docPr id="3" name="Picture 2" descr="C:\Documents and Settings\rrlandrum\Desktop\GA_WIC_logo2011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rlandrum\Desktop\GA_WIC_logo2011_FINAL.jpg"/>
                  <pic:cNvPicPr>
                    <a:picLocks noChangeAspect="1" noChangeArrowheads="1"/>
                  </pic:cNvPicPr>
                </pic:nvPicPr>
                <pic:blipFill>
                  <a:blip r:embed="rId1"/>
                  <a:srcRect/>
                  <a:stretch>
                    <a:fillRect/>
                  </a:stretch>
                </pic:blipFill>
                <pic:spPr bwMode="auto">
                  <a:xfrm>
                    <a:off x="0" y="0"/>
                    <a:ext cx="1508051" cy="63835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79C6"/>
    <w:multiLevelType w:val="hybridMultilevel"/>
    <w:tmpl w:val="02409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BA0BA8"/>
    <w:multiLevelType w:val="hybridMultilevel"/>
    <w:tmpl w:val="FE50D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4B12C4"/>
    <w:multiLevelType w:val="hybridMultilevel"/>
    <w:tmpl w:val="CBA647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F2255E"/>
    <w:multiLevelType w:val="hybridMultilevel"/>
    <w:tmpl w:val="13EE1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D20F97"/>
    <w:multiLevelType w:val="hybridMultilevel"/>
    <w:tmpl w:val="32904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6E66DC"/>
    <w:multiLevelType w:val="hybridMultilevel"/>
    <w:tmpl w:val="B712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270ED"/>
    <w:rsid w:val="00143206"/>
    <w:rsid w:val="002423C3"/>
    <w:rsid w:val="002D014A"/>
    <w:rsid w:val="004324BD"/>
    <w:rsid w:val="004F3B31"/>
    <w:rsid w:val="00535A80"/>
    <w:rsid w:val="00606171"/>
    <w:rsid w:val="00644275"/>
    <w:rsid w:val="00865BF4"/>
    <w:rsid w:val="00AA1409"/>
    <w:rsid w:val="00B270ED"/>
    <w:rsid w:val="00B82A0B"/>
    <w:rsid w:val="00BF4B31"/>
    <w:rsid w:val="00CF7454"/>
    <w:rsid w:val="00D3290D"/>
    <w:rsid w:val="00D4325E"/>
    <w:rsid w:val="00E075BD"/>
    <w:rsid w:val="00E250FE"/>
    <w:rsid w:val="00F71B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0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70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70ED"/>
  </w:style>
  <w:style w:type="paragraph" w:styleId="Footer">
    <w:name w:val="footer"/>
    <w:basedOn w:val="Normal"/>
    <w:link w:val="FooterChar"/>
    <w:uiPriority w:val="99"/>
    <w:semiHidden/>
    <w:unhideWhenUsed/>
    <w:rsid w:val="00B270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70ED"/>
  </w:style>
  <w:style w:type="paragraph" w:styleId="BalloonText">
    <w:name w:val="Balloon Text"/>
    <w:basedOn w:val="Normal"/>
    <w:link w:val="BalloonTextChar"/>
    <w:uiPriority w:val="99"/>
    <w:semiHidden/>
    <w:unhideWhenUsed/>
    <w:rsid w:val="00B27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0ED"/>
    <w:rPr>
      <w:rFonts w:ascii="Tahoma" w:hAnsi="Tahoma" w:cs="Tahoma"/>
      <w:sz w:val="16"/>
      <w:szCs w:val="16"/>
    </w:rPr>
  </w:style>
  <w:style w:type="paragraph" w:styleId="ListParagraph">
    <w:name w:val="List Paragraph"/>
    <w:basedOn w:val="Normal"/>
    <w:uiPriority w:val="34"/>
    <w:qFormat/>
    <w:rsid w:val="00B270ED"/>
    <w:pPr>
      <w:ind w:left="720"/>
      <w:contextualSpacing/>
    </w:pPr>
  </w:style>
  <w:style w:type="character" w:styleId="Hyperlink">
    <w:name w:val="Hyperlink"/>
    <w:basedOn w:val="DefaultParagraphFont"/>
    <w:uiPriority w:val="99"/>
    <w:unhideWhenUsed/>
    <w:rsid w:val="00B270E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vit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dney.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atright.org" TargetMode="External"/><Relationship Id="rId4" Type="http://schemas.openxmlformats.org/officeDocument/2006/relationships/webSettings" Target="webSettings.xml"/><Relationship Id="rId9" Type="http://schemas.openxmlformats.org/officeDocument/2006/relationships/hyperlink" Target="http://www.KDIGO.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5079</Characters>
  <Application>Microsoft Office Word</Application>
  <DocSecurity>0</DocSecurity>
  <Lines>42</Lines>
  <Paragraphs>11</Paragraphs>
  <ScaleCrop>false</ScaleCrop>
  <Company>Georgia Dept of Community Health</Company>
  <LinksUpToDate>false</LinksUpToDate>
  <CharactersWithSpaces>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rrlandrum</dc:creator>
  <cp:keywords/>
  <dc:description/>
  <cp:lastModifiedBy>vvsherard</cp:lastModifiedBy>
  <cp:revision>2</cp:revision>
  <dcterms:created xsi:type="dcterms:W3CDTF">2013-09-16T16:39:00Z</dcterms:created>
  <dcterms:modified xsi:type="dcterms:W3CDTF">2013-09-16T16:39:00Z</dcterms:modified>
</cp:coreProperties>
</file>